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bookmarkStart w:id="0" w:name="_GoBack"/>
      <w:bookmarkEnd w:id="0"/>
    </w:p>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p>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p>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p>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p>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p>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p>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p>
    <w:p w:rsidR="00426B6B" w:rsidRPr="003724D8" w:rsidRDefault="000D4D0B" w:rsidP="003D5AD3">
      <w:pPr>
        <w:autoSpaceDE w:val="0"/>
        <w:autoSpaceDN w:val="0"/>
        <w:adjustRightInd w:val="0"/>
        <w:spacing w:after="0" w:line="240" w:lineRule="auto"/>
        <w:jc w:val="center"/>
        <w:rPr>
          <w:rFonts w:ascii="Times New Roman" w:hAnsi="Times New Roman" w:cs="Times New Roman"/>
          <w:b/>
          <w:kern w:val="24"/>
          <w:sz w:val="36"/>
          <w:szCs w:val="36"/>
        </w:rPr>
      </w:pPr>
      <w:r w:rsidRPr="003724D8">
        <w:rPr>
          <w:rFonts w:ascii="Times New Roman" w:hAnsi="Times New Roman" w:cs="Times New Roman"/>
          <w:b/>
          <w:kern w:val="24"/>
          <w:sz w:val="36"/>
          <w:szCs w:val="36"/>
        </w:rPr>
        <w:t xml:space="preserve">In Search of the Holy Grail: </w:t>
      </w:r>
      <w:r w:rsidRPr="003724D8">
        <w:rPr>
          <w:rFonts w:ascii="Times New Roman" w:hAnsi="Times New Roman" w:cs="Times New Roman"/>
          <w:b/>
          <w:kern w:val="24"/>
          <w:sz w:val="36"/>
          <w:szCs w:val="36"/>
        </w:rPr>
        <w:br/>
      </w:r>
      <w:r w:rsidR="00426B6B" w:rsidRPr="003724D8">
        <w:rPr>
          <w:rFonts w:ascii="Times New Roman" w:hAnsi="Times New Roman" w:cs="Times New Roman"/>
          <w:b/>
          <w:kern w:val="24"/>
          <w:sz w:val="36"/>
          <w:szCs w:val="36"/>
        </w:rPr>
        <w:t>Achieving Global Privacy Rules</w:t>
      </w:r>
    </w:p>
    <w:p w:rsidR="00322186" w:rsidRPr="003724D8" w:rsidRDefault="00426B6B" w:rsidP="003D5AD3">
      <w:pPr>
        <w:autoSpaceDE w:val="0"/>
        <w:autoSpaceDN w:val="0"/>
        <w:adjustRightInd w:val="0"/>
        <w:spacing w:after="0" w:line="240" w:lineRule="auto"/>
        <w:jc w:val="center"/>
        <w:rPr>
          <w:rFonts w:ascii="Times New Roman" w:hAnsi="Times New Roman" w:cs="Times New Roman"/>
          <w:b/>
          <w:kern w:val="24"/>
          <w:sz w:val="36"/>
          <w:szCs w:val="36"/>
        </w:rPr>
      </w:pPr>
      <w:r w:rsidRPr="003724D8">
        <w:rPr>
          <w:rFonts w:ascii="Times New Roman" w:hAnsi="Times New Roman" w:cs="Times New Roman"/>
          <w:b/>
          <w:kern w:val="24"/>
          <w:sz w:val="36"/>
          <w:szCs w:val="36"/>
        </w:rPr>
        <w:t xml:space="preserve">Through </w:t>
      </w:r>
      <w:r w:rsidR="00322186" w:rsidRPr="003724D8">
        <w:rPr>
          <w:rFonts w:ascii="Times New Roman" w:hAnsi="Times New Roman" w:cs="Times New Roman"/>
          <w:b/>
          <w:kern w:val="24"/>
          <w:sz w:val="36"/>
          <w:szCs w:val="36"/>
        </w:rPr>
        <w:t>Sector-Based Codes of Conduct</w:t>
      </w:r>
    </w:p>
    <w:p w:rsidR="00426B6B" w:rsidRDefault="00426B6B" w:rsidP="003D5AD3">
      <w:pPr>
        <w:autoSpaceDE w:val="0"/>
        <w:autoSpaceDN w:val="0"/>
        <w:adjustRightInd w:val="0"/>
        <w:spacing w:after="0" w:line="240" w:lineRule="auto"/>
        <w:jc w:val="center"/>
        <w:rPr>
          <w:rFonts w:ascii="Times New Roman" w:hAnsi="Times New Roman" w:cs="Times New Roman"/>
          <w:kern w:val="24"/>
          <w:sz w:val="36"/>
          <w:szCs w:val="36"/>
        </w:rPr>
      </w:pPr>
    </w:p>
    <w:p w:rsidR="003D5AD3" w:rsidRDefault="003D5AD3" w:rsidP="003D5AD3">
      <w:pPr>
        <w:autoSpaceDE w:val="0"/>
        <w:autoSpaceDN w:val="0"/>
        <w:adjustRightInd w:val="0"/>
        <w:spacing w:after="0" w:line="240" w:lineRule="auto"/>
        <w:jc w:val="center"/>
        <w:rPr>
          <w:rFonts w:ascii="Times New Roman" w:hAnsi="Times New Roman" w:cs="Times New Roman"/>
          <w:kern w:val="24"/>
          <w:sz w:val="36"/>
          <w:szCs w:val="36"/>
        </w:rPr>
      </w:pPr>
    </w:p>
    <w:p w:rsidR="005C65F9" w:rsidRDefault="005C65F9" w:rsidP="003D5AD3">
      <w:pPr>
        <w:autoSpaceDE w:val="0"/>
        <w:autoSpaceDN w:val="0"/>
        <w:adjustRightInd w:val="0"/>
        <w:spacing w:after="0" w:line="240" w:lineRule="auto"/>
        <w:jc w:val="center"/>
        <w:rPr>
          <w:rFonts w:ascii="Times New Roman" w:hAnsi="Times New Roman" w:cs="Times New Roman"/>
          <w:kern w:val="24"/>
          <w:sz w:val="36"/>
          <w:szCs w:val="36"/>
        </w:rPr>
      </w:pPr>
    </w:p>
    <w:p w:rsidR="003D5AD3" w:rsidRDefault="000D4D0B" w:rsidP="003D5AD3">
      <w:pPr>
        <w:autoSpaceDE w:val="0"/>
        <w:autoSpaceDN w:val="0"/>
        <w:adjustRightInd w:val="0"/>
        <w:spacing w:after="0" w:line="240" w:lineRule="auto"/>
        <w:jc w:val="center"/>
        <w:rPr>
          <w:rFonts w:ascii="Times New Roman" w:hAnsi="Times New Roman" w:cs="Times New Roman"/>
          <w:kern w:val="24"/>
          <w:sz w:val="24"/>
          <w:szCs w:val="24"/>
        </w:rPr>
      </w:pPr>
      <w:r w:rsidRPr="00DE69C8">
        <w:rPr>
          <w:rFonts w:ascii="Times New Roman" w:hAnsi="Times New Roman" w:cs="Times New Roman"/>
          <w:kern w:val="24"/>
          <w:sz w:val="28"/>
          <w:szCs w:val="28"/>
        </w:rPr>
        <w:t>Dennis D. Hirsch</w:t>
      </w:r>
    </w:p>
    <w:p w:rsidR="003D5AD3" w:rsidRDefault="003D5AD3" w:rsidP="003D5AD3">
      <w:pPr>
        <w:autoSpaceDE w:val="0"/>
        <w:autoSpaceDN w:val="0"/>
        <w:adjustRightInd w:val="0"/>
        <w:spacing w:after="0" w:line="240" w:lineRule="auto"/>
        <w:jc w:val="center"/>
        <w:rPr>
          <w:rFonts w:ascii="Times New Roman" w:hAnsi="Times New Roman" w:cs="Times New Roman"/>
          <w:kern w:val="24"/>
          <w:sz w:val="24"/>
          <w:szCs w:val="24"/>
        </w:rPr>
      </w:pPr>
      <w:r>
        <w:rPr>
          <w:rFonts w:ascii="Times New Roman" w:hAnsi="Times New Roman" w:cs="Times New Roman"/>
          <w:kern w:val="24"/>
          <w:sz w:val="24"/>
          <w:szCs w:val="24"/>
        </w:rPr>
        <w:t>Geraldine W. Howell Professor of Law</w:t>
      </w:r>
    </w:p>
    <w:p w:rsidR="003D5AD3" w:rsidRDefault="003D5AD3" w:rsidP="003D5AD3">
      <w:pPr>
        <w:autoSpaceDE w:val="0"/>
        <w:autoSpaceDN w:val="0"/>
        <w:adjustRightInd w:val="0"/>
        <w:spacing w:after="0" w:line="240" w:lineRule="auto"/>
        <w:jc w:val="center"/>
        <w:rPr>
          <w:rFonts w:ascii="Times New Roman" w:hAnsi="Times New Roman" w:cs="Times New Roman"/>
          <w:kern w:val="24"/>
          <w:sz w:val="24"/>
          <w:szCs w:val="24"/>
        </w:rPr>
      </w:pPr>
      <w:r>
        <w:rPr>
          <w:rFonts w:ascii="Times New Roman" w:hAnsi="Times New Roman" w:cs="Times New Roman"/>
          <w:kern w:val="24"/>
          <w:sz w:val="24"/>
          <w:szCs w:val="24"/>
        </w:rPr>
        <w:t>Capital University Law School</w:t>
      </w:r>
    </w:p>
    <w:p w:rsidR="003D5AD3" w:rsidRDefault="003D5AD3" w:rsidP="003D5AD3">
      <w:pPr>
        <w:autoSpaceDE w:val="0"/>
        <w:autoSpaceDN w:val="0"/>
        <w:adjustRightInd w:val="0"/>
        <w:spacing w:after="0" w:line="240" w:lineRule="auto"/>
        <w:jc w:val="center"/>
        <w:rPr>
          <w:rFonts w:ascii="Times New Roman" w:hAnsi="Times New Roman" w:cs="Times New Roman"/>
          <w:kern w:val="24"/>
          <w:sz w:val="24"/>
          <w:szCs w:val="24"/>
        </w:rPr>
      </w:pPr>
      <w:r>
        <w:rPr>
          <w:rFonts w:ascii="Times New Roman" w:hAnsi="Times New Roman" w:cs="Times New Roman"/>
          <w:kern w:val="24"/>
          <w:sz w:val="24"/>
          <w:szCs w:val="24"/>
        </w:rPr>
        <w:t>303 E. Broad Street</w:t>
      </w:r>
    </w:p>
    <w:p w:rsidR="003D5AD3" w:rsidRDefault="003D5AD3" w:rsidP="003D5AD3">
      <w:pPr>
        <w:autoSpaceDE w:val="0"/>
        <w:autoSpaceDN w:val="0"/>
        <w:adjustRightInd w:val="0"/>
        <w:spacing w:after="0" w:line="240" w:lineRule="auto"/>
        <w:jc w:val="center"/>
        <w:rPr>
          <w:rFonts w:ascii="Times New Roman" w:hAnsi="Times New Roman" w:cs="Times New Roman"/>
          <w:kern w:val="24"/>
          <w:sz w:val="24"/>
          <w:szCs w:val="24"/>
        </w:rPr>
      </w:pPr>
      <w:r>
        <w:rPr>
          <w:rFonts w:ascii="Times New Roman" w:hAnsi="Times New Roman" w:cs="Times New Roman"/>
          <w:kern w:val="24"/>
          <w:sz w:val="24"/>
          <w:szCs w:val="24"/>
        </w:rPr>
        <w:t>Columbus, OH 43215</w:t>
      </w:r>
    </w:p>
    <w:p w:rsidR="003D5AD3" w:rsidRDefault="00917D51" w:rsidP="003D5AD3">
      <w:pPr>
        <w:autoSpaceDE w:val="0"/>
        <w:autoSpaceDN w:val="0"/>
        <w:adjustRightInd w:val="0"/>
        <w:spacing w:after="0" w:line="240" w:lineRule="auto"/>
        <w:jc w:val="center"/>
        <w:rPr>
          <w:rFonts w:ascii="Times New Roman" w:hAnsi="Times New Roman" w:cs="Times New Roman"/>
          <w:kern w:val="24"/>
          <w:sz w:val="24"/>
          <w:szCs w:val="24"/>
        </w:rPr>
      </w:pPr>
      <w:hyperlink r:id="rId9" w:history="1">
        <w:r w:rsidR="003D5AD3" w:rsidRPr="00A8043A">
          <w:rPr>
            <w:rStyle w:val="Hyperlink"/>
            <w:rFonts w:ascii="Times New Roman" w:hAnsi="Times New Roman" w:cs="Times New Roman"/>
            <w:kern w:val="24"/>
            <w:sz w:val="24"/>
            <w:szCs w:val="24"/>
          </w:rPr>
          <w:t>dhirsch@law.capital.edu</w:t>
        </w:r>
      </w:hyperlink>
    </w:p>
    <w:p w:rsidR="003D5AD3" w:rsidRDefault="003D5AD3" w:rsidP="003D5AD3">
      <w:pPr>
        <w:autoSpaceDE w:val="0"/>
        <w:autoSpaceDN w:val="0"/>
        <w:adjustRightInd w:val="0"/>
        <w:spacing w:after="0" w:line="240" w:lineRule="auto"/>
        <w:jc w:val="center"/>
        <w:rPr>
          <w:rFonts w:ascii="Times New Roman" w:hAnsi="Times New Roman" w:cs="Times New Roman"/>
          <w:kern w:val="24"/>
          <w:sz w:val="24"/>
          <w:szCs w:val="24"/>
        </w:rPr>
      </w:pPr>
      <w:r>
        <w:rPr>
          <w:rFonts w:ascii="Times New Roman" w:hAnsi="Times New Roman" w:cs="Times New Roman"/>
          <w:kern w:val="24"/>
          <w:sz w:val="24"/>
          <w:szCs w:val="24"/>
        </w:rPr>
        <w:t>(614) 558-0997 (c)</w:t>
      </w:r>
    </w:p>
    <w:p w:rsidR="003D5AD3" w:rsidRPr="003D5AD3" w:rsidRDefault="003D5AD3" w:rsidP="003D5AD3">
      <w:pPr>
        <w:autoSpaceDE w:val="0"/>
        <w:autoSpaceDN w:val="0"/>
        <w:adjustRightInd w:val="0"/>
        <w:spacing w:after="0" w:line="240" w:lineRule="auto"/>
        <w:jc w:val="center"/>
        <w:rPr>
          <w:rFonts w:ascii="Times New Roman" w:hAnsi="Times New Roman" w:cs="Times New Roman"/>
          <w:kern w:val="24"/>
          <w:sz w:val="24"/>
          <w:szCs w:val="24"/>
        </w:rPr>
      </w:pPr>
      <w:r>
        <w:rPr>
          <w:rFonts w:ascii="Times New Roman" w:hAnsi="Times New Roman" w:cs="Times New Roman"/>
          <w:kern w:val="24"/>
          <w:sz w:val="24"/>
          <w:szCs w:val="24"/>
        </w:rPr>
        <w:t>(614) 236-6685 (o)</w:t>
      </w:r>
    </w:p>
    <w:p w:rsidR="003D5AD3" w:rsidRDefault="003D5AD3">
      <w:pPr>
        <w:rPr>
          <w:rFonts w:ascii="Times New Roman" w:hAnsi="Times New Roman" w:cs="Times New Roman"/>
          <w:kern w:val="24"/>
          <w:sz w:val="24"/>
          <w:szCs w:val="24"/>
        </w:rPr>
      </w:pPr>
      <w:r>
        <w:rPr>
          <w:rFonts w:ascii="Times New Roman" w:hAnsi="Times New Roman" w:cs="Times New Roman"/>
          <w:kern w:val="24"/>
          <w:sz w:val="24"/>
          <w:szCs w:val="24"/>
        </w:rPr>
        <w:br w:type="page"/>
      </w:r>
    </w:p>
    <w:p w:rsidR="00322186" w:rsidRPr="00322186" w:rsidRDefault="00322186" w:rsidP="00E812BB">
      <w:pPr>
        <w:autoSpaceDE w:val="0"/>
        <w:autoSpaceDN w:val="0"/>
        <w:adjustRightInd w:val="0"/>
        <w:spacing w:after="0" w:line="240" w:lineRule="auto"/>
        <w:rPr>
          <w:rFonts w:ascii="Times New Roman" w:hAnsi="Times New Roman" w:cs="Times New Roman"/>
          <w:kern w:val="24"/>
          <w:sz w:val="24"/>
          <w:szCs w:val="24"/>
        </w:rPr>
      </w:pPr>
    </w:p>
    <w:p w:rsidR="00E812BB" w:rsidRDefault="00322186" w:rsidP="001610E3">
      <w:pPr>
        <w:autoSpaceDE w:val="0"/>
        <w:autoSpaceDN w:val="0"/>
        <w:adjustRightInd w:val="0"/>
        <w:spacing w:after="0" w:line="480" w:lineRule="auto"/>
        <w:ind w:firstLine="720"/>
        <w:rPr>
          <w:rFonts w:ascii="Times New Roman" w:hAnsi="Times New Roman" w:cs="Times New Roman"/>
          <w:kern w:val="24"/>
          <w:sz w:val="24"/>
          <w:szCs w:val="24"/>
        </w:rPr>
      </w:pPr>
      <w:r w:rsidRPr="00322186">
        <w:rPr>
          <w:rFonts w:ascii="Times New Roman" w:hAnsi="Times New Roman" w:cs="Times New Roman"/>
          <w:sz w:val="24"/>
          <w:szCs w:val="24"/>
        </w:rPr>
        <w:t>The movement of personal data across national borders is fundamental to the Internet economy.</w:t>
      </w:r>
      <w:r w:rsidRPr="00322186">
        <w:rPr>
          <w:rStyle w:val="FootnoteReference"/>
          <w:rFonts w:ascii="Times New Roman" w:hAnsi="Times New Roman" w:cs="Times New Roman"/>
          <w:sz w:val="24"/>
          <w:szCs w:val="24"/>
        </w:rPr>
        <w:footnoteReference w:id="1"/>
      </w:r>
      <w:r w:rsidRPr="00322186">
        <w:rPr>
          <w:rFonts w:ascii="Times New Roman" w:hAnsi="Times New Roman" w:cs="Times New Roman"/>
          <w:sz w:val="24"/>
          <w:szCs w:val="24"/>
        </w:rPr>
        <w:t xml:space="preserve"> Yet the laws that govern such data flows remain national or, at best, regional.</w:t>
      </w:r>
      <w:r w:rsidR="00DD4C0F">
        <w:rPr>
          <w:rStyle w:val="FootnoteReference"/>
          <w:rFonts w:ascii="Times New Roman" w:hAnsi="Times New Roman" w:cs="Times New Roman"/>
          <w:sz w:val="24"/>
          <w:szCs w:val="24"/>
        </w:rPr>
        <w:footnoteReference w:id="2"/>
      </w:r>
      <w:r w:rsidRPr="00322186">
        <w:rPr>
          <w:rFonts w:ascii="Times New Roman" w:hAnsi="Times New Roman" w:cs="Times New Roman"/>
          <w:sz w:val="24"/>
          <w:szCs w:val="24"/>
        </w:rPr>
        <w:t xml:space="preserve"> This mismatch </w:t>
      </w:r>
      <w:r w:rsidR="00426B6B">
        <w:rPr>
          <w:rFonts w:ascii="Times New Roman" w:hAnsi="Times New Roman" w:cs="Times New Roman"/>
          <w:sz w:val="24"/>
          <w:szCs w:val="24"/>
        </w:rPr>
        <w:t>creates a number of related problems.</w:t>
      </w:r>
      <w:r w:rsidR="00E812BB">
        <w:rPr>
          <w:rFonts w:ascii="Times New Roman" w:hAnsi="Times New Roman" w:cs="Times New Roman"/>
          <w:kern w:val="24"/>
          <w:sz w:val="24"/>
          <w:szCs w:val="24"/>
        </w:rPr>
        <w:t xml:space="preserve"> </w:t>
      </w:r>
      <w:r w:rsidR="00426B6B">
        <w:rPr>
          <w:rFonts w:ascii="Times New Roman" w:hAnsi="Times New Roman" w:cs="Times New Roman"/>
          <w:sz w:val="24"/>
          <w:szCs w:val="24"/>
        </w:rPr>
        <w:t xml:space="preserve">It </w:t>
      </w:r>
      <w:r w:rsidR="002E5FCB">
        <w:rPr>
          <w:rFonts w:ascii="Times New Roman" w:hAnsi="Times New Roman" w:cs="Times New Roman"/>
          <w:sz w:val="24"/>
          <w:szCs w:val="24"/>
        </w:rPr>
        <w:t xml:space="preserve">makes it difficult to track and enforce compliance as personal data moves rapidly </w:t>
      </w:r>
      <w:r w:rsidR="00B128AF">
        <w:rPr>
          <w:rFonts w:ascii="Times New Roman" w:hAnsi="Times New Roman" w:cs="Times New Roman"/>
          <w:sz w:val="24"/>
          <w:szCs w:val="24"/>
        </w:rPr>
        <w:t xml:space="preserve">and unpredictably </w:t>
      </w:r>
      <w:r w:rsidR="002E5FCB">
        <w:rPr>
          <w:rFonts w:ascii="Times New Roman" w:hAnsi="Times New Roman" w:cs="Times New Roman"/>
          <w:sz w:val="24"/>
          <w:szCs w:val="24"/>
        </w:rPr>
        <w:t>from one legal jurisdiction to another.</w:t>
      </w:r>
      <w:r w:rsidR="00DD4C0F">
        <w:rPr>
          <w:rStyle w:val="FootnoteReference"/>
          <w:rFonts w:ascii="Times New Roman" w:hAnsi="Times New Roman" w:cs="Times New Roman"/>
          <w:sz w:val="24"/>
          <w:szCs w:val="24"/>
        </w:rPr>
        <w:footnoteReference w:id="3"/>
      </w:r>
      <w:r w:rsidR="00E812BB">
        <w:rPr>
          <w:rFonts w:ascii="Times New Roman" w:hAnsi="Times New Roman" w:cs="Times New Roman"/>
          <w:kern w:val="24"/>
          <w:sz w:val="24"/>
          <w:szCs w:val="24"/>
        </w:rPr>
        <w:t xml:space="preserve"> </w:t>
      </w:r>
      <w:r w:rsidR="002E5FCB">
        <w:rPr>
          <w:rFonts w:ascii="Times New Roman" w:hAnsi="Times New Roman" w:cs="Times New Roman"/>
          <w:sz w:val="24"/>
          <w:szCs w:val="24"/>
        </w:rPr>
        <w:t xml:space="preserve">It increases costs and </w:t>
      </w:r>
      <w:r w:rsidR="002112A8">
        <w:rPr>
          <w:rFonts w:ascii="Times New Roman" w:hAnsi="Times New Roman" w:cs="Times New Roman"/>
          <w:sz w:val="24"/>
          <w:szCs w:val="24"/>
        </w:rPr>
        <w:t xml:space="preserve">risks </w:t>
      </w:r>
      <w:r w:rsidR="002E5FCB">
        <w:rPr>
          <w:rFonts w:ascii="Times New Roman" w:hAnsi="Times New Roman" w:cs="Times New Roman"/>
          <w:sz w:val="24"/>
          <w:szCs w:val="24"/>
        </w:rPr>
        <w:t>for businesses that must track, and seek to comply with, a wide variety of privacy laws.</w:t>
      </w:r>
      <w:r w:rsidR="00DD4C0F" w:rsidRPr="00DD4C0F">
        <w:rPr>
          <w:rStyle w:val="FootnoteReference"/>
          <w:rFonts w:ascii="Times New Roman" w:hAnsi="Times New Roman" w:cs="Times New Roman"/>
          <w:sz w:val="24"/>
          <w:szCs w:val="24"/>
        </w:rPr>
        <w:t xml:space="preserve"> </w:t>
      </w:r>
      <w:r w:rsidR="00DD4C0F">
        <w:rPr>
          <w:rStyle w:val="FootnoteReference"/>
          <w:rFonts w:ascii="Times New Roman" w:hAnsi="Times New Roman" w:cs="Times New Roman"/>
          <w:sz w:val="24"/>
          <w:szCs w:val="24"/>
        </w:rPr>
        <w:footnoteReference w:id="4"/>
      </w:r>
      <w:r w:rsidR="00E812BB">
        <w:rPr>
          <w:rFonts w:ascii="Times New Roman" w:hAnsi="Times New Roman" w:cs="Times New Roman"/>
          <w:kern w:val="24"/>
          <w:sz w:val="24"/>
          <w:szCs w:val="24"/>
        </w:rPr>
        <w:t xml:space="preserve"> </w:t>
      </w:r>
      <w:r w:rsidR="002E5FCB">
        <w:rPr>
          <w:rFonts w:ascii="Times New Roman" w:hAnsi="Times New Roman" w:cs="Times New Roman"/>
          <w:sz w:val="24"/>
          <w:szCs w:val="24"/>
        </w:rPr>
        <w:t xml:space="preserve">And it creates </w:t>
      </w:r>
      <w:r w:rsidRPr="00322186">
        <w:rPr>
          <w:rFonts w:ascii="Times New Roman" w:hAnsi="Times New Roman" w:cs="Times New Roman"/>
          <w:sz w:val="24"/>
          <w:szCs w:val="24"/>
        </w:rPr>
        <w:t>tension and political strife between major trading partners</w:t>
      </w:r>
      <w:r w:rsidR="002E5FCB">
        <w:rPr>
          <w:rFonts w:ascii="Times New Roman" w:hAnsi="Times New Roman" w:cs="Times New Roman"/>
          <w:sz w:val="24"/>
          <w:szCs w:val="24"/>
        </w:rPr>
        <w:t>,</w:t>
      </w:r>
      <w:r w:rsidRPr="00322186">
        <w:rPr>
          <w:rFonts w:ascii="Times New Roman" w:hAnsi="Times New Roman" w:cs="Times New Roman"/>
          <w:sz w:val="24"/>
          <w:szCs w:val="24"/>
        </w:rPr>
        <w:t xml:space="preserve"> such as the </w:t>
      </w:r>
      <w:r w:rsidR="001C6D99">
        <w:rPr>
          <w:rFonts w:ascii="Times New Roman" w:hAnsi="Times New Roman" w:cs="Times New Roman"/>
          <w:sz w:val="24"/>
          <w:szCs w:val="24"/>
        </w:rPr>
        <w:t xml:space="preserve">U.S. </w:t>
      </w:r>
      <w:r w:rsidRPr="00322186">
        <w:rPr>
          <w:rFonts w:ascii="Times New Roman" w:hAnsi="Times New Roman" w:cs="Times New Roman"/>
          <w:sz w:val="24"/>
          <w:szCs w:val="24"/>
        </w:rPr>
        <w:t xml:space="preserve">and the </w:t>
      </w:r>
      <w:r w:rsidR="001C6D99">
        <w:rPr>
          <w:rFonts w:ascii="Times New Roman" w:hAnsi="Times New Roman" w:cs="Times New Roman"/>
          <w:sz w:val="24"/>
          <w:szCs w:val="24"/>
        </w:rPr>
        <w:t>E.U.,</w:t>
      </w:r>
      <w:r w:rsidRPr="00322186">
        <w:rPr>
          <w:rFonts w:ascii="Times New Roman" w:hAnsi="Times New Roman" w:cs="Times New Roman"/>
          <w:sz w:val="24"/>
          <w:szCs w:val="24"/>
        </w:rPr>
        <w:t xml:space="preserve"> </w:t>
      </w:r>
      <w:r w:rsidR="002034A2">
        <w:rPr>
          <w:rFonts w:ascii="Times New Roman" w:hAnsi="Times New Roman" w:cs="Times New Roman"/>
          <w:sz w:val="24"/>
          <w:szCs w:val="24"/>
        </w:rPr>
        <w:t>whose differing approaches to p</w:t>
      </w:r>
      <w:r w:rsidR="001560C1">
        <w:rPr>
          <w:rFonts w:ascii="Times New Roman" w:hAnsi="Times New Roman" w:cs="Times New Roman"/>
          <w:sz w:val="24"/>
          <w:szCs w:val="24"/>
        </w:rPr>
        <w:t xml:space="preserve">rivacy law threaten to disrupt </w:t>
      </w:r>
      <w:r w:rsidR="002034A2">
        <w:rPr>
          <w:rFonts w:ascii="Times New Roman" w:hAnsi="Times New Roman" w:cs="Times New Roman"/>
          <w:sz w:val="24"/>
          <w:szCs w:val="24"/>
        </w:rPr>
        <w:t xml:space="preserve">data transfers </w:t>
      </w:r>
      <w:r w:rsidR="002112A8">
        <w:rPr>
          <w:rFonts w:ascii="Times New Roman" w:hAnsi="Times New Roman" w:cs="Times New Roman"/>
          <w:sz w:val="24"/>
          <w:szCs w:val="24"/>
        </w:rPr>
        <w:t>a</w:t>
      </w:r>
      <w:r w:rsidR="001560C1">
        <w:rPr>
          <w:rFonts w:ascii="Times New Roman" w:hAnsi="Times New Roman" w:cs="Times New Roman"/>
          <w:sz w:val="24"/>
          <w:szCs w:val="24"/>
        </w:rPr>
        <w:t>cross their borders</w:t>
      </w:r>
      <w:r w:rsidRPr="00322186">
        <w:rPr>
          <w:rFonts w:ascii="Times New Roman" w:hAnsi="Times New Roman" w:cs="Times New Roman"/>
          <w:sz w:val="24"/>
          <w:szCs w:val="24"/>
        </w:rPr>
        <w:t>.</w:t>
      </w:r>
      <w:r w:rsidR="00DD4C0F">
        <w:rPr>
          <w:rStyle w:val="FootnoteReference"/>
          <w:rFonts w:ascii="Times New Roman" w:hAnsi="Times New Roman" w:cs="Times New Roman"/>
          <w:sz w:val="24"/>
          <w:szCs w:val="24"/>
        </w:rPr>
        <w:footnoteReference w:id="5"/>
      </w:r>
      <w:r w:rsidR="00E812BB">
        <w:rPr>
          <w:rFonts w:ascii="Times New Roman" w:hAnsi="Times New Roman" w:cs="Times New Roman"/>
          <w:sz w:val="24"/>
          <w:szCs w:val="24"/>
        </w:rPr>
        <w:t xml:space="preserve"> </w:t>
      </w:r>
      <w:r w:rsidRPr="00322186">
        <w:rPr>
          <w:rFonts w:ascii="Times New Roman" w:hAnsi="Times New Roman" w:cs="Times New Roman"/>
          <w:sz w:val="24"/>
          <w:szCs w:val="24"/>
        </w:rPr>
        <w:t>The Department of Commerce has identified the conflict between global data flows and national or regional laws as one of the most significant problems facing privacy law and policy today, explaining that “[d]</w:t>
      </w:r>
      <w:proofErr w:type="spellStart"/>
      <w:r w:rsidRPr="00322186">
        <w:rPr>
          <w:rFonts w:ascii="Times New Roman" w:hAnsi="Times New Roman" w:cs="Times New Roman"/>
          <w:sz w:val="24"/>
          <w:szCs w:val="24"/>
        </w:rPr>
        <w:t>isparate</w:t>
      </w:r>
      <w:proofErr w:type="spellEnd"/>
      <w:r w:rsidRPr="00322186">
        <w:rPr>
          <w:rFonts w:ascii="Times New Roman" w:hAnsi="Times New Roman" w:cs="Times New Roman"/>
          <w:sz w:val="24"/>
          <w:szCs w:val="24"/>
        </w:rPr>
        <w:t xml:space="preserve"> approaches to commercial data privacy can create barriers to both trade and commerce, harming both consumers and companies.”</w:t>
      </w:r>
      <w:r w:rsidRPr="00322186">
        <w:rPr>
          <w:rStyle w:val="FootnoteReference"/>
          <w:rFonts w:ascii="Times New Roman" w:hAnsi="Times New Roman" w:cs="Times New Roman"/>
          <w:sz w:val="24"/>
          <w:szCs w:val="24"/>
        </w:rPr>
        <w:footnoteReference w:id="6"/>
      </w:r>
    </w:p>
    <w:p w:rsidR="00E812BB" w:rsidRDefault="002112A8"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At first blush, the answer to these difficulties would seem to be a clear one: </w:t>
      </w:r>
      <w:r w:rsidR="002E5FCB">
        <w:rPr>
          <w:rFonts w:ascii="Times New Roman" w:hAnsi="Times New Roman" w:cs="Times New Roman"/>
          <w:kern w:val="24"/>
          <w:sz w:val="24"/>
          <w:szCs w:val="24"/>
        </w:rPr>
        <w:t>develop a single, global set of privacy rules</w:t>
      </w:r>
      <w:r w:rsidR="002034A2">
        <w:rPr>
          <w:rFonts w:ascii="Times New Roman" w:hAnsi="Times New Roman" w:cs="Times New Roman"/>
          <w:kern w:val="24"/>
          <w:sz w:val="24"/>
          <w:szCs w:val="24"/>
        </w:rPr>
        <w:t xml:space="preserve"> that is applicable in all jurisdictions</w:t>
      </w:r>
      <w:r w:rsidR="002E5FCB">
        <w:rPr>
          <w:rFonts w:ascii="Times New Roman" w:hAnsi="Times New Roman" w:cs="Times New Roman"/>
          <w:kern w:val="24"/>
          <w:sz w:val="24"/>
          <w:szCs w:val="24"/>
        </w:rPr>
        <w:t>.</w:t>
      </w:r>
      <w:r w:rsidR="00E812BB">
        <w:rPr>
          <w:rFonts w:ascii="Times New Roman" w:hAnsi="Times New Roman" w:cs="Times New Roman"/>
          <w:kern w:val="24"/>
          <w:sz w:val="24"/>
          <w:szCs w:val="24"/>
        </w:rPr>
        <w:t xml:space="preserve"> </w:t>
      </w:r>
      <w:r>
        <w:rPr>
          <w:rFonts w:ascii="Times New Roman" w:hAnsi="Times New Roman" w:cs="Times New Roman"/>
          <w:kern w:val="24"/>
          <w:sz w:val="24"/>
          <w:szCs w:val="24"/>
        </w:rPr>
        <w:t>That</w:t>
      </w:r>
      <w:r w:rsidR="001560C1">
        <w:rPr>
          <w:rFonts w:ascii="Times New Roman" w:hAnsi="Times New Roman" w:cs="Times New Roman"/>
          <w:kern w:val="24"/>
          <w:sz w:val="24"/>
          <w:szCs w:val="24"/>
        </w:rPr>
        <w:t xml:space="preserve"> would provide </w:t>
      </w:r>
      <w:r>
        <w:rPr>
          <w:rFonts w:ascii="Times New Roman" w:hAnsi="Times New Roman" w:cs="Times New Roman"/>
          <w:kern w:val="24"/>
          <w:sz w:val="24"/>
          <w:szCs w:val="24"/>
        </w:rPr>
        <w:t xml:space="preserve">enable business to comply in a cost-effective way; </w:t>
      </w:r>
      <w:r w:rsidR="002034A2">
        <w:rPr>
          <w:rFonts w:ascii="Times New Roman" w:hAnsi="Times New Roman" w:cs="Times New Roman"/>
          <w:kern w:val="24"/>
          <w:sz w:val="24"/>
          <w:szCs w:val="24"/>
        </w:rPr>
        <w:t xml:space="preserve">make it easier </w:t>
      </w:r>
      <w:r w:rsidR="001560C1">
        <w:rPr>
          <w:rFonts w:ascii="Times New Roman" w:hAnsi="Times New Roman" w:cs="Times New Roman"/>
          <w:kern w:val="24"/>
          <w:sz w:val="24"/>
          <w:szCs w:val="24"/>
        </w:rPr>
        <w:t xml:space="preserve">for </w:t>
      </w:r>
      <w:r>
        <w:rPr>
          <w:rFonts w:ascii="Times New Roman" w:hAnsi="Times New Roman" w:cs="Times New Roman"/>
          <w:kern w:val="24"/>
          <w:sz w:val="24"/>
          <w:szCs w:val="24"/>
        </w:rPr>
        <w:t xml:space="preserve">governments to enforce, and </w:t>
      </w:r>
      <w:r w:rsidR="001560C1">
        <w:rPr>
          <w:rFonts w:ascii="Times New Roman" w:hAnsi="Times New Roman" w:cs="Times New Roman"/>
          <w:kern w:val="24"/>
          <w:sz w:val="24"/>
          <w:szCs w:val="24"/>
        </w:rPr>
        <w:t xml:space="preserve">individuals and privacy advocates </w:t>
      </w:r>
      <w:r w:rsidR="002034A2">
        <w:rPr>
          <w:rFonts w:ascii="Times New Roman" w:hAnsi="Times New Roman" w:cs="Times New Roman"/>
          <w:kern w:val="24"/>
          <w:sz w:val="24"/>
          <w:szCs w:val="24"/>
        </w:rPr>
        <w:t>to track</w:t>
      </w:r>
      <w:r>
        <w:rPr>
          <w:rFonts w:ascii="Times New Roman" w:hAnsi="Times New Roman" w:cs="Times New Roman"/>
          <w:kern w:val="24"/>
          <w:sz w:val="24"/>
          <w:szCs w:val="24"/>
        </w:rPr>
        <w:t>,</w:t>
      </w:r>
      <w:r w:rsidR="002034A2">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this </w:t>
      </w:r>
      <w:r w:rsidR="002034A2">
        <w:rPr>
          <w:rFonts w:ascii="Times New Roman" w:hAnsi="Times New Roman" w:cs="Times New Roman"/>
          <w:kern w:val="24"/>
          <w:sz w:val="24"/>
          <w:szCs w:val="24"/>
        </w:rPr>
        <w:t xml:space="preserve">compliance; and facilitate </w:t>
      </w:r>
      <w:r>
        <w:rPr>
          <w:rFonts w:ascii="Times New Roman" w:hAnsi="Times New Roman" w:cs="Times New Roman"/>
          <w:kern w:val="24"/>
          <w:sz w:val="24"/>
          <w:szCs w:val="24"/>
        </w:rPr>
        <w:t xml:space="preserve">economically vital </w:t>
      </w:r>
      <w:r w:rsidR="002034A2">
        <w:rPr>
          <w:rFonts w:ascii="Times New Roman" w:hAnsi="Times New Roman" w:cs="Times New Roman"/>
          <w:kern w:val="24"/>
          <w:sz w:val="24"/>
          <w:szCs w:val="24"/>
        </w:rPr>
        <w:t xml:space="preserve">data flows </w:t>
      </w:r>
      <w:r>
        <w:rPr>
          <w:rFonts w:ascii="Times New Roman" w:hAnsi="Times New Roman" w:cs="Times New Roman"/>
          <w:kern w:val="24"/>
          <w:sz w:val="24"/>
          <w:szCs w:val="24"/>
        </w:rPr>
        <w:t xml:space="preserve">among </w:t>
      </w:r>
      <w:r w:rsidR="002034A2">
        <w:rPr>
          <w:rFonts w:ascii="Times New Roman" w:hAnsi="Times New Roman" w:cs="Times New Roman"/>
          <w:kern w:val="24"/>
          <w:sz w:val="24"/>
          <w:szCs w:val="24"/>
        </w:rPr>
        <w:t>nations.</w:t>
      </w:r>
      <w:r w:rsidR="00E812BB">
        <w:rPr>
          <w:rFonts w:ascii="Times New Roman" w:hAnsi="Times New Roman" w:cs="Times New Roman"/>
          <w:kern w:val="24"/>
          <w:sz w:val="24"/>
          <w:szCs w:val="24"/>
        </w:rPr>
        <w:t xml:space="preserve"> </w:t>
      </w:r>
      <w:proofErr w:type="gramStart"/>
      <w:r w:rsidR="002E5FCB">
        <w:rPr>
          <w:rFonts w:ascii="Times New Roman" w:hAnsi="Times New Roman" w:cs="Times New Roman"/>
          <w:kern w:val="24"/>
          <w:sz w:val="24"/>
          <w:szCs w:val="24"/>
        </w:rPr>
        <w:t>But how to achieve this?</w:t>
      </w:r>
      <w:proofErr w:type="gramEnd"/>
      <w:r w:rsidR="00E812BB">
        <w:rPr>
          <w:rFonts w:ascii="Times New Roman" w:hAnsi="Times New Roman" w:cs="Times New Roman"/>
          <w:kern w:val="24"/>
          <w:sz w:val="24"/>
          <w:szCs w:val="24"/>
        </w:rPr>
        <w:t xml:space="preserve"> </w:t>
      </w:r>
      <w:r w:rsidR="002034A2">
        <w:rPr>
          <w:rFonts w:ascii="Times New Roman" w:hAnsi="Times New Roman" w:cs="Times New Roman"/>
          <w:kern w:val="24"/>
          <w:sz w:val="24"/>
          <w:szCs w:val="24"/>
        </w:rPr>
        <w:t>An international treaty, setting legally-binding privacy requirements for the globe, seems impossibly out of reach.</w:t>
      </w:r>
      <w:r w:rsidR="00E812BB">
        <w:rPr>
          <w:rStyle w:val="FootnoteReference"/>
          <w:rFonts w:ascii="Times New Roman" w:hAnsi="Times New Roman" w:cs="Times New Roman"/>
          <w:sz w:val="24"/>
          <w:szCs w:val="24"/>
        </w:rPr>
        <w:footnoteReference w:id="7"/>
      </w:r>
      <w:r w:rsidR="00E812BB">
        <w:rPr>
          <w:rFonts w:ascii="Times New Roman" w:hAnsi="Times New Roman" w:cs="Times New Roman"/>
          <w:kern w:val="24"/>
          <w:sz w:val="24"/>
          <w:szCs w:val="24"/>
        </w:rPr>
        <w:t xml:space="preserve"> </w:t>
      </w:r>
      <w:r w:rsidR="002034A2">
        <w:rPr>
          <w:rFonts w:ascii="Times New Roman" w:hAnsi="Times New Roman" w:cs="Times New Roman"/>
          <w:kern w:val="24"/>
          <w:sz w:val="24"/>
          <w:szCs w:val="24"/>
        </w:rPr>
        <w:t xml:space="preserve">Industry self-regulation, </w:t>
      </w:r>
      <w:r w:rsidR="002034A2">
        <w:rPr>
          <w:rFonts w:ascii="Times New Roman" w:hAnsi="Times New Roman" w:cs="Times New Roman"/>
          <w:kern w:val="24"/>
          <w:sz w:val="24"/>
          <w:szCs w:val="24"/>
        </w:rPr>
        <w:lastRenderedPageBreak/>
        <w:t xml:space="preserve">while perhaps more feasible, has been sparse and unsatisfactory in its implementation and, in any event, cannot </w:t>
      </w:r>
      <w:r>
        <w:rPr>
          <w:rFonts w:ascii="Times New Roman" w:hAnsi="Times New Roman" w:cs="Times New Roman"/>
          <w:kern w:val="24"/>
          <w:sz w:val="24"/>
          <w:szCs w:val="24"/>
        </w:rPr>
        <w:t>promise legal compliance</w:t>
      </w:r>
      <w:r w:rsidR="001560C1">
        <w:rPr>
          <w:rFonts w:ascii="Times New Roman" w:hAnsi="Times New Roman" w:cs="Times New Roman"/>
          <w:kern w:val="24"/>
          <w:sz w:val="24"/>
          <w:szCs w:val="24"/>
        </w:rPr>
        <w:t>.</w:t>
      </w:r>
      <w:r w:rsidR="00E812BB">
        <w:rPr>
          <w:rStyle w:val="FootnoteReference"/>
          <w:rFonts w:ascii="Times New Roman" w:hAnsi="Times New Roman" w:cs="Times New Roman"/>
          <w:sz w:val="24"/>
          <w:szCs w:val="24"/>
        </w:rPr>
        <w:footnoteReference w:id="8"/>
      </w:r>
      <w:r w:rsidR="001560C1">
        <w:rPr>
          <w:rFonts w:ascii="Times New Roman" w:hAnsi="Times New Roman" w:cs="Times New Roman"/>
          <w:kern w:val="24"/>
          <w:sz w:val="24"/>
          <w:szCs w:val="24"/>
        </w:rPr>
        <w:t xml:space="preserve"> </w:t>
      </w:r>
    </w:p>
    <w:p w:rsidR="006A2EB1" w:rsidRDefault="002034A2"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sz w:val="24"/>
          <w:szCs w:val="24"/>
        </w:rPr>
        <w:t xml:space="preserve">International </w:t>
      </w:r>
      <w:r w:rsidRPr="002034A2">
        <w:rPr>
          <w:rFonts w:ascii="Times New Roman" w:eastAsia="Calibri" w:hAnsi="Times New Roman" w:cs="Times New Roman"/>
          <w:sz w:val="24"/>
          <w:szCs w:val="24"/>
        </w:rPr>
        <w:t xml:space="preserve">policymakers and practitioners seem to be gravitating towards a third option: enforceable, mutually </w:t>
      </w:r>
      <w:r w:rsidR="003B407C">
        <w:rPr>
          <w:rFonts w:ascii="Times New Roman" w:hAnsi="Times New Roman" w:cs="Times New Roman"/>
          <w:sz w:val="24"/>
          <w:szCs w:val="24"/>
        </w:rPr>
        <w:t>recognized</w:t>
      </w:r>
      <w:r w:rsidRPr="002034A2">
        <w:rPr>
          <w:rFonts w:ascii="Times New Roman" w:eastAsia="Calibri" w:hAnsi="Times New Roman" w:cs="Times New Roman"/>
          <w:sz w:val="24"/>
          <w:szCs w:val="24"/>
        </w:rPr>
        <w:t>, industry codes of conduct.</w:t>
      </w:r>
      <w:r w:rsidR="00E812BB">
        <w:rPr>
          <w:rStyle w:val="FootnoteReference"/>
          <w:rFonts w:ascii="Times New Roman" w:hAnsi="Times New Roman" w:cs="Times New Roman"/>
          <w:sz w:val="24"/>
          <w:szCs w:val="24"/>
        </w:rPr>
        <w:footnoteReference w:id="9"/>
      </w:r>
      <w:r w:rsidR="00E812BB">
        <w:rPr>
          <w:rFonts w:ascii="Times New Roman" w:hAnsi="Times New Roman" w:cs="Times New Roman"/>
          <w:kern w:val="24"/>
          <w:sz w:val="24"/>
          <w:szCs w:val="24"/>
        </w:rPr>
        <w:t xml:space="preserve"> </w:t>
      </w:r>
      <w:r w:rsidR="001560C1">
        <w:rPr>
          <w:rFonts w:ascii="Times New Roman" w:hAnsi="Times New Roman" w:cs="Times New Roman"/>
          <w:kern w:val="24"/>
          <w:sz w:val="24"/>
          <w:szCs w:val="24"/>
        </w:rPr>
        <w:t xml:space="preserve">This approach comes in a number of varieties, </w:t>
      </w:r>
      <w:r w:rsidR="002112A8">
        <w:rPr>
          <w:rFonts w:ascii="Times New Roman" w:hAnsi="Times New Roman" w:cs="Times New Roman"/>
          <w:kern w:val="24"/>
          <w:sz w:val="24"/>
          <w:szCs w:val="24"/>
        </w:rPr>
        <w:t>though</w:t>
      </w:r>
      <w:r w:rsidR="001560C1">
        <w:rPr>
          <w:rFonts w:ascii="Times New Roman" w:hAnsi="Times New Roman" w:cs="Times New Roman"/>
          <w:kern w:val="24"/>
          <w:sz w:val="24"/>
          <w:szCs w:val="24"/>
        </w:rPr>
        <w:t xml:space="preserve"> </w:t>
      </w:r>
      <w:r w:rsidR="00743BAB">
        <w:rPr>
          <w:rFonts w:ascii="Times New Roman" w:hAnsi="Times New Roman" w:cs="Times New Roman"/>
          <w:kern w:val="24"/>
          <w:sz w:val="24"/>
          <w:szCs w:val="24"/>
        </w:rPr>
        <w:t>they all fol</w:t>
      </w:r>
      <w:r w:rsidR="00E812BB">
        <w:rPr>
          <w:rFonts w:ascii="Times New Roman" w:hAnsi="Times New Roman" w:cs="Times New Roman"/>
          <w:kern w:val="24"/>
          <w:sz w:val="24"/>
          <w:szCs w:val="24"/>
        </w:rPr>
        <w:t xml:space="preserve">low the same general approach. </w:t>
      </w:r>
      <w:r w:rsidR="006A2EB1">
        <w:rPr>
          <w:rFonts w:ascii="Times New Roman" w:hAnsi="Times New Roman" w:cs="Times New Roman"/>
          <w:kern w:val="24"/>
          <w:sz w:val="24"/>
          <w:szCs w:val="24"/>
        </w:rPr>
        <w:t>National jurisdictions establish general principles for how companies should handle and protect personal information.</w:t>
      </w:r>
    </w:p>
    <w:p w:rsidR="00C5302D" w:rsidRDefault="00A7047D"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kern w:val="24"/>
          <w:sz w:val="24"/>
          <w:szCs w:val="24"/>
        </w:rPr>
        <w:t>Individual c</w:t>
      </w:r>
      <w:r w:rsidR="003B407C">
        <w:rPr>
          <w:rFonts w:ascii="Times New Roman" w:hAnsi="Times New Roman" w:cs="Times New Roman"/>
          <w:kern w:val="24"/>
          <w:sz w:val="24"/>
          <w:szCs w:val="24"/>
        </w:rPr>
        <w:t xml:space="preserve">ompanies </w:t>
      </w:r>
      <w:r w:rsidR="00E812BB">
        <w:rPr>
          <w:rFonts w:ascii="Times New Roman" w:hAnsi="Times New Roman" w:cs="Times New Roman"/>
          <w:kern w:val="24"/>
          <w:sz w:val="24"/>
          <w:szCs w:val="24"/>
        </w:rPr>
        <w:t xml:space="preserve">then </w:t>
      </w:r>
      <w:r w:rsidR="003B407C">
        <w:rPr>
          <w:rFonts w:ascii="Times New Roman" w:hAnsi="Times New Roman" w:cs="Times New Roman"/>
          <w:kern w:val="24"/>
          <w:sz w:val="24"/>
          <w:szCs w:val="24"/>
        </w:rPr>
        <w:t xml:space="preserve">develop </w:t>
      </w:r>
      <w:r>
        <w:rPr>
          <w:rFonts w:ascii="Times New Roman" w:hAnsi="Times New Roman" w:cs="Times New Roman"/>
          <w:kern w:val="24"/>
          <w:sz w:val="24"/>
          <w:szCs w:val="24"/>
        </w:rPr>
        <w:t xml:space="preserve">a </w:t>
      </w:r>
      <w:r w:rsidR="003B407C">
        <w:rPr>
          <w:rFonts w:ascii="Times New Roman" w:hAnsi="Times New Roman" w:cs="Times New Roman"/>
          <w:kern w:val="24"/>
          <w:sz w:val="24"/>
          <w:szCs w:val="24"/>
        </w:rPr>
        <w:t xml:space="preserve">privacy </w:t>
      </w:r>
      <w:r>
        <w:rPr>
          <w:rFonts w:ascii="Times New Roman" w:hAnsi="Times New Roman" w:cs="Times New Roman"/>
          <w:kern w:val="24"/>
          <w:sz w:val="24"/>
          <w:szCs w:val="24"/>
        </w:rPr>
        <w:t>code</w:t>
      </w:r>
      <w:r w:rsidR="003B407C">
        <w:rPr>
          <w:rFonts w:ascii="Times New Roman" w:hAnsi="Times New Roman" w:cs="Times New Roman"/>
          <w:kern w:val="24"/>
          <w:sz w:val="24"/>
          <w:szCs w:val="24"/>
        </w:rPr>
        <w:t xml:space="preserve"> of conduct that</w:t>
      </w:r>
      <w:r>
        <w:rPr>
          <w:rFonts w:ascii="Times New Roman" w:hAnsi="Times New Roman" w:cs="Times New Roman"/>
          <w:kern w:val="24"/>
          <w:sz w:val="24"/>
          <w:szCs w:val="24"/>
        </w:rPr>
        <w:t xml:space="preserve"> meets the legal requirements of </w:t>
      </w:r>
      <w:r w:rsidR="00743BAB">
        <w:rPr>
          <w:rFonts w:ascii="Times New Roman" w:hAnsi="Times New Roman" w:cs="Times New Roman"/>
          <w:kern w:val="24"/>
          <w:sz w:val="24"/>
          <w:szCs w:val="24"/>
        </w:rPr>
        <w:t xml:space="preserve">a number of </w:t>
      </w:r>
      <w:r w:rsidR="006A2EB1">
        <w:rPr>
          <w:rFonts w:ascii="Times New Roman" w:hAnsi="Times New Roman" w:cs="Times New Roman"/>
          <w:kern w:val="24"/>
          <w:sz w:val="24"/>
          <w:szCs w:val="24"/>
        </w:rPr>
        <w:t xml:space="preserve">these </w:t>
      </w:r>
      <w:r w:rsidR="00743BAB">
        <w:rPr>
          <w:rFonts w:ascii="Times New Roman" w:hAnsi="Times New Roman" w:cs="Times New Roman"/>
          <w:kern w:val="24"/>
          <w:sz w:val="24"/>
          <w:szCs w:val="24"/>
        </w:rPr>
        <w:t>national jurisdictions</w:t>
      </w:r>
      <w:r>
        <w:rPr>
          <w:rFonts w:ascii="Times New Roman" w:hAnsi="Times New Roman" w:cs="Times New Roman"/>
          <w:kern w:val="24"/>
          <w:sz w:val="24"/>
          <w:szCs w:val="24"/>
        </w:rPr>
        <w:t xml:space="preserve">.  A designated authority, endorsed by all of the participating nations, </w:t>
      </w:r>
      <w:r w:rsidR="00743BAB">
        <w:rPr>
          <w:rFonts w:ascii="Times New Roman" w:hAnsi="Times New Roman" w:cs="Times New Roman"/>
          <w:kern w:val="24"/>
          <w:sz w:val="24"/>
          <w:szCs w:val="24"/>
        </w:rPr>
        <w:t>reviews the code.</w:t>
      </w:r>
      <w:r w:rsidR="00E812BB">
        <w:rPr>
          <w:rFonts w:ascii="Times New Roman" w:hAnsi="Times New Roman" w:cs="Times New Roman"/>
          <w:kern w:val="24"/>
          <w:sz w:val="24"/>
          <w:szCs w:val="24"/>
        </w:rPr>
        <w:t xml:space="preserve"> </w:t>
      </w:r>
      <w:r w:rsidR="00743BAB">
        <w:rPr>
          <w:rFonts w:ascii="Times New Roman" w:hAnsi="Times New Roman" w:cs="Times New Roman"/>
          <w:kern w:val="24"/>
          <w:sz w:val="24"/>
          <w:szCs w:val="24"/>
        </w:rPr>
        <w:t>If the authority finds that the code does, in fact, meet the relev</w:t>
      </w:r>
      <w:r w:rsidR="00E92FE7">
        <w:rPr>
          <w:rFonts w:ascii="Times New Roman" w:hAnsi="Times New Roman" w:cs="Times New Roman"/>
          <w:kern w:val="24"/>
          <w:sz w:val="24"/>
          <w:szCs w:val="24"/>
        </w:rPr>
        <w:t>ant requirements, it approves the code</w:t>
      </w:r>
      <w:r w:rsidR="00743BAB">
        <w:rPr>
          <w:rFonts w:ascii="Times New Roman" w:hAnsi="Times New Roman" w:cs="Times New Roman"/>
          <w:kern w:val="24"/>
          <w:sz w:val="24"/>
          <w:szCs w:val="24"/>
        </w:rPr>
        <w:t>.</w:t>
      </w:r>
      <w:r w:rsidR="00E92FE7">
        <w:rPr>
          <w:rFonts w:ascii="Times New Roman" w:hAnsi="Times New Roman" w:cs="Times New Roman"/>
          <w:kern w:val="24"/>
          <w:sz w:val="24"/>
          <w:szCs w:val="24"/>
        </w:rPr>
        <w:t xml:space="preserve"> </w:t>
      </w:r>
      <w:r w:rsidR="00743BAB">
        <w:rPr>
          <w:rFonts w:ascii="Times New Roman" w:hAnsi="Times New Roman" w:cs="Times New Roman"/>
          <w:kern w:val="24"/>
          <w:sz w:val="24"/>
          <w:szCs w:val="24"/>
        </w:rPr>
        <w:t>The participating nations then treat firms that comply with an approved code of conduct as being in compliance with their respective laws.</w:t>
      </w:r>
      <w:r w:rsidR="00E812BB">
        <w:rPr>
          <w:rFonts w:ascii="Times New Roman" w:hAnsi="Times New Roman" w:cs="Times New Roman"/>
          <w:kern w:val="24"/>
          <w:sz w:val="24"/>
          <w:szCs w:val="24"/>
        </w:rPr>
        <w:t xml:space="preserve"> </w:t>
      </w:r>
      <w:r w:rsidR="00743BAB">
        <w:rPr>
          <w:rFonts w:ascii="Times New Roman" w:hAnsi="Times New Roman" w:cs="Times New Roman"/>
          <w:kern w:val="24"/>
          <w:sz w:val="24"/>
          <w:szCs w:val="24"/>
        </w:rPr>
        <w:t xml:space="preserve">They </w:t>
      </w:r>
      <w:r w:rsidR="002112A8">
        <w:rPr>
          <w:rFonts w:ascii="Times New Roman" w:hAnsi="Times New Roman" w:cs="Times New Roman"/>
          <w:kern w:val="24"/>
          <w:sz w:val="24"/>
          <w:szCs w:val="24"/>
        </w:rPr>
        <w:t xml:space="preserve">bring enforcement actions against </w:t>
      </w:r>
      <w:r w:rsidR="00743BAB">
        <w:rPr>
          <w:rFonts w:ascii="Times New Roman" w:hAnsi="Times New Roman" w:cs="Times New Roman"/>
          <w:kern w:val="24"/>
          <w:sz w:val="24"/>
          <w:szCs w:val="24"/>
        </w:rPr>
        <w:t xml:space="preserve">firms that claim to comply with a code, but fail to do so. </w:t>
      </w:r>
      <w:proofErr w:type="gramStart"/>
      <w:r w:rsidR="00743BAB">
        <w:rPr>
          <w:rFonts w:ascii="Times New Roman" w:hAnsi="Times New Roman" w:cs="Times New Roman"/>
          <w:kern w:val="24"/>
          <w:sz w:val="24"/>
          <w:szCs w:val="24"/>
        </w:rPr>
        <w:t>Structured in this way, t</w:t>
      </w:r>
      <w:r w:rsidR="00630006">
        <w:rPr>
          <w:rFonts w:ascii="Times New Roman" w:hAnsi="Times New Roman" w:cs="Times New Roman"/>
          <w:kern w:val="24"/>
          <w:sz w:val="24"/>
          <w:szCs w:val="24"/>
        </w:rPr>
        <w:t xml:space="preserve">he approved code functions as a </w:t>
      </w:r>
      <w:r w:rsidR="002112A8">
        <w:rPr>
          <w:rFonts w:ascii="Times New Roman" w:hAnsi="Times New Roman" w:cs="Times New Roman"/>
          <w:kern w:val="24"/>
          <w:sz w:val="24"/>
          <w:szCs w:val="24"/>
        </w:rPr>
        <w:t xml:space="preserve">unified, </w:t>
      </w:r>
      <w:r w:rsidR="00743BAB">
        <w:rPr>
          <w:rFonts w:ascii="Times New Roman" w:hAnsi="Times New Roman" w:cs="Times New Roman"/>
          <w:kern w:val="24"/>
          <w:sz w:val="24"/>
          <w:szCs w:val="24"/>
        </w:rPr>
        <w:t xml:space="preserve">enforceable, </w:t>
      </w:r>
      <w:r w:rsidR="00630006">
        <w:rPr>
          <w:rFonts w:ascii="Times New Roman" w:hAnsi="Times New Roman" w:cs="Times New Roman"/>
          <w:kern w:val="24"/>
          <w:sz w:val="24"/>
          <w:szCs w:val="24"/>
        </w:rPr>
        <w:t xml:space="preserve">international </w:t>
      </w:r>
      <w:r w:rsidR="00C5302D">
        <w:rPr>
          <w:rFonts w:ascii="Times New Roman" w:hAnsi="Times New Roman" w:cs="Times New Roman"/>
          <w:kern w:val="24"/>
          <w:sz w:val="24"/>
          <w:szCs w:val="24"/>
        </w:rPr>
        <w:t>set of privacy rules.</w:t>
      </w:r>
      <w:proofErr w:type="gramEnd"/>
      <w:r w:rsidR="00C5302D">
        <w:rPr>
          <w:rFonts w:ascii="Times New Roman" w:hAnsi="Times New Roman" w:cs="Times New Roman"/>
          <w:kern w:val="24"/>
          <w:sz w:val="24"/>
          <w:szCs w:val="24"/>
        </w:rPr>
        <w:t xml:space="preserve"> </w:t>
      </w:r>
      <w:r w:rsidR="001560C1">
        <w:rPr>
          <w:rFonts w:ascii="Times New Roman" w:eastAsia="Calibri" w:hAnsi="Times New Roman" w:cs="Times New Roman"/>
          <w:sz w:val="24"/>
          <w:szCs w:val="24"/>
        </w:rPr>
        <w:t xml:space="preserve">Three initiatives </w:t>
      </w:r>
      <w:r w:rsidR="00743BAB">
        <w:rPr>
          <w:rFonts w:ascii="Times New Roman" w:eastAsia="Calibri" w:hAnsi="Times New Roman" w:cs="Times New Roman"/>
          <w:sz w:val="24"/>
          <w:szCs w:val="24"/>
        </w:rPr>
        <w:t xml:space="preserve">currently </w:t>
      </w:r>
      <w:r w:rsidR="001560C1">
        <w:rPr>
          <w:rFonts w:ascii="Times New Roman" w:eastAsia="Calibri" w:hAnsi="Times New Roman" w:cs="Times New Roman"/>
          <w:sz w:val="24"/>
          <w:szCs w:val="24"/>
        </w:rPr>
        <w:t xml:space="preserve">employ </w:t>
      </w:r>
      <w:r w:rsidR="002034A2" w:rsidRPr="002034A2">
        <w:rPr>
          <w:rFonts w:ascii="Times New Roman" w:eastAsia="Calibri" w:hAnsi="Times New Roman" w:cs="Times New Roman"/>
          <w:sz w:val="24"/>
          <w:szCs w:val="24"/>
        </w:rPr>
        <w:t>codes of conduct</w:t>
      </w:r>
      <w:r w:rsidR="001560C1">
        <w:rPr>
          <w:rFonts w:ascii="Times New Roman" w:eastAsia="Calibri" w:hAnsi="Times New Roman" w:cs="Times New Roman"/>
          <w:sz w:val="24"/>
          <w:szCs w:val="24"/>
        </w:rPr>
        <w:t xml:space="preserve"> </w:t>
      </w:r>
      <w:r w:rsidR="00C03C89">
        <w:rPr>
          <w:rFonts w:ascii="Times New Roman" w:eastAsia="Calibri" w:hAnsi="Times New Roman" w:cs="Times New Roman"/>
          <w:sz w:val="24"/>
          <w:szCs w:val="24"/>
        </w:rPr>
        <w:t>as a way to create cross-border privacy rules</w:t>
      </w:r>
      <w:r w:rsidR="001560C1">
        <w:rPr>
          <w:rFonts w:ascii="Times New Roman" w:eastAsia="Calibri" w:hAnsi="Times New Roman" w:cs="Times New Roman"/>
          <w:sz w:val="24"/>
          <w:szCs w:val="24"/>
        </w:rPr>
        <w:t>: Binding Corporate Rules (BCRs);</w:t>
      </w:r>
      <w:r w:rsidR="00C5302D">
        <w:rPr>
          <w:rStyle w:val="FootnoteReference"/>
          <w:rFonts w:ascii="Times New Roman" w:hAnsi="Times New Roman" w:cs="Times New Roman"/>
          <w:sz w:val="24"/>
          <w:szCs w:val="24"/>
        </w:rPr>
        <w:footnoteReference w:id="10"/>
      </w:r>
      <w:r w:rsidR="001560C1">
        <w:rPr>
          <w:rFonts w:ascii="Times New Roman" w:eastAsia="Calibri" w:hAnsi="Times New Roman" w:cs="Times New Roman"/>
          <w:sz w:val="24"/>
          <w:szCs w:val="24"/>
        </w:rPr>
        <w:t xml:space="preserve"> the Asia-Pacific Economic Cooperation forum’</w:t>
      </w:r>
      <w:r w:rsidR="00C5302D">
        <w:rPr>
          <w:rFonts w:ascii="Times New Roman" w:eastAsia="Calibri" w:hAnsi="Times New Roman" w:cs="Times New Roman"/>
          <w:sz w:val="24"/>
          <w:szCs w:val="24"/>
        </w:rPr>
        <w:t>s Cross-Border Privacy Rules (C</w:t>
      </w:r>
      <w:r w:rsidR="001560C1">
        <w:rPr>
          <w:rFonts w:ascii="Times New Roman" w:eastAsia="Calibri" w:hAnsi="Times New Roman" w:cs="Times New Roman"/>
          <w:sz w:val="24"/>
          <w:szCs w:val="24"/>
        </w:rPr>
        <w:t>B</w:t>
      </w:r>
      <w:r w:rsidR="00C5302D">
        <w:rPr>
          <w:rFonts w:ascii="Times New Roman" w:eastAsia="Calibri" w:hAnsi="Times New Roman" w:cs="Times New Roman"/>
          <w:sz w:val="24"/>
          <w:szCs w:val="24"/>
        </w:rPr>
        <w:t>P</w:t>
      </w:r>
      <w:r w:rsidR="001560C1">
        <w:rPr>
          <w:rFonts w:ascii="Times New Roman" w:eastAsia="Calibri" w:hAnsi="Times New Roman" w:cs="Times New Roman"/>
          <w:sz w:val="24"/>
          <w:szCs w:val="24"/>
        </w:rPr>
        <w:t>Rs);</w:t>
      </w:r>
      <w:r w:rsidR="00C5302D">
        <w:rPr>
          <w:rStyle w:val="FootnoteReference"/>
          <w:rFonts w:ascii="Times New Roman" w:hAnsi="Times New Roman" w:cs="Times New Roman"/>
          <w:sz w:val="24"/>
          <w:szCs w:val="24"/>
        </w:rPr>
        <w:footnoteReference w:id="11"/>
      </w:r>
      <w:r w:rsidR="001560C1">
        <w:rPr>
          <w:rFonts w:ascii="Times New Roman" w:eastAsia="Calibri" w:hAnsi="Times New Roman" w:cs="Times New Roman"/>
          <w:sz w:val="24"/>
          <w:szCs w:val="24"/>
        </w:rPr>
        <w:t xml:space="preserve"> and the </w:t>
      </w:r>
      <w:r w:rsidR="00412CD9" w:rsidRPr="001560C1">
        <w:rPr>
          <w:rFonts w:ascii="Times New Roman" w:hAnsi="Times New Roman" w:cs="Times New Roman"/>
          <w:sz w:val="24"/>
          <w:szCs w:val="24"/>
        </w:rPr>
        <w:t>U.S.-</w:t>
      </w:r>
      <w:r w:rsidR="001C6D99">
        <w:rPr>
          <w:rFonts w:ascii="Times New Roman" w:hAnsi="Times New Roman" w:cs="Times New Roman"/>
          <w:sz w:val="24"/>
          <w:szCs w:val="24"/>
        </w:rPr>
        <w:t>E.U.</w:t>
      </w:r>
      <w:r w:rsidR="00412CD9" w:rsidRPr="001560C1">
        <w:rPr>
          <w:rFonts w:ascii="Times New Roman" w:hAnsi="Times New Roman" w:cs="Times New Roman"/>
          <w:sz w:val="24"/>
          <w:szCs w:val="24"/>
        </w:rPr>
        <w:t xml:space="preserve"> Safe Harbor Agreement</w:t>
      </w:r>
      <w:r w:rsidR="00C5302D">
        <w:rPr>
          <w:rFonts w:ascii="Times New Roman" w:hAnsi="Times New Roman" w:cs="Times New Roman"/>
          <w:sz w:val="24"/>
          <w:szCs w:val="24"/>
        </w:rPr>
        <w:t>.</w:t>
      </w:r>
      <w:r w:rsidR="00C5302D">
        <w:rPr>
          <w:rStyle w:val="FootnoteReference"/>
          <w:rFonts w:ascii="Times New Roman" w:hAnsi="Times New Roman" w:cs="Times New Roman"/>
          <w:sz w:val="24"/>
          <w:szCs w:val="24"/>
        </w:rPr>
        <w:footnoteReference w:id="12"/>
      </w:r>
      <w:r w:rsidR="00C5302D">
        <w:rPr>
          <w:rFonts w:ascii="Times New Roman" w:hAnsi="Times New Roman" w:cs="Times New Roman"/>
          <w:kern w:val="24"/>
          <w:sz w:val="24"/>
          <w:szCs w:val="24"/>
        </w:rPr>
        <w:t xml:space="preserve"> </w:t>
      </w:r>
      <w:r w:rsidR="002112A8">
        <w:rPr>
          <w:rFonts w:ascii="Times New Roman" w:hAnsi="Times New Roman" w:cs="Times New Roman"/>
          <w:sz w:val="24"/>
          <w:szCs w:val="24"/>
        </w:rPr>
        <w:t xml:space="preserve">Business and regulators have been investing in these programs and view them as a way harmonize privacy laws in a world of </w:t>
      </w:r>
      <w:r w:rsidR="00C5302D">
        <w:rPr>
          <w:rFonts w:ascii="Times New Roman" w:hAnsi="Times New Roman" w:cs="Times New Roman"/>
          <w:sz w:val="24"/>
          <w:szCs w:val="24"/>
        </w:rPr>
        <w:t xml:space="preserve">widely </w:t>
      </w:r>
      <w:r w:rsidR="002112A8">
        <w:rPr>
          <w:rFonts w:ascii="Times New Roman" w:hAnsi="Times New Roman" w:cs="Times New Roman"/>
          <w:sz w:val="24"/>
          <w:szCs w:val="24"/>
        </w:rPr>
        <w:t>disparate legal regimes.</w:t>
      </w:r>
    </w:p>
    <w:p w:rsidR="00C5302D" w:rsidRDefault="00F36B57"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sz w:val="24"/>
          <w:szCs w:val="24"/>
        </w:rPr>
        <w:t xml:space="preserve">This article argues that </w:t>
      </w:r>
      <w:r w:rsidR="002112A8">
        <w:rPr>
          <w:rFonts w:ascii="Times New Roman" w:hAnsi="Times New Roman" w:cs="Times New Roman"/>
          <w:sz w:val="24"/>
          <w:szCs w:val="24"/>
        </w:rPr>
        <w:t xml:space="preserve">each of these programs contains a fundamental flaw: each relies on codes created at the level of the </w:t>
      </w:r>
      <w:r w:rsidR="002112A8" w:rsidRPr="00AA0E7F">
        <w:rPr>
          <w:rFonts w:ascii="Times New Roman" w:hAnsi="Times New Roman" w:cs="Times New Roman"/>
          <w:i/>
          <w:sz w:val="24"/>
          <w:szCs w:val="24"/>
        </w:rPr>
        <w:t>individual firm</w:t>
      </w:r>
      <w:r w:rsidR="002112A8">
        <w:rPr>
          <w:rFonts w:ascii="Times New Roman" w:hAnsi="Times New Roman" w:cs="Times New Roman"/>
          <w:sz w:val="24"/>
          <w:szCs w:val="24"/>
        </w:rPr>
        <w:t>.</w:t>
      </w:r>
      <w:r w:rsidR="00C5302D">
        <w:rPr>
          <w:rFonts w:ascii="Times New Roman" w:hAnsi="Times New Roman" w:cs="Times New Roman"/>
          <w:kern w:val="24"/>
          <w:sz w:val="24"/>
          <w:szCs w:val="24"/>
        </w:rPr>
        <w:t xml:space="preserve"> </w:t>
      </w:r>
      <w:r w:rsidR="002112A8">
        <w:rPr>
          <w:rFonts w:ascii="Times New Roman" w:hAnsi="Times New Roman" w:cs="Times New Roman"/>
          <w:sz w:val="24"/>
          <w:szCs w:val="24"/>
        </w:rPr>
        <w:t xml:space="preserve">This feature renders the code of conduct approach impractical for most companies, expensive for governments to administer and enforce, </w:t>
      </w:r>
      <w:r w:rsidR="002112A8">
        <w:rPr>
          <w:rFonts w:ascii="Times New Roman" w:hAnsi="Times New Roman" w:cs="Times New Roman"/>
          <w:sz w:val="24"/>
          <w:szCs w:val="24"/>
        </w:rPr>
        <w:lastRenderedPageBreak/>
        <w:t>and difficult for stakeholder groups to track and monitor.</w:t>
      </w:r>
      <w:r w:rsidR="00C5302D">
        <w:rPr>
          <w:rFonts w:ascii="Times New Roman" w:hAnsi="Times New Roman" w:cs="Times New Roman"/>
          <w:kern w:val="24"/>
          <w:sz w:val="24"/>
          <w:szCs w:val="24"/>
        </w:rPr>
        <w:t xml:space="preserve"> </w:t>
      </w:r>
      <w:r>
        <w:rPr>
          <w:rFonts w:ascii="Times New Roman" w:hAnsi="Times New Roman" w:cs="Times New Roman"/>
          <w:sz w:val="24"/>
          <w:szCs w:val="24"/>
        </w:rPr>
        <w:t xml:space="preserve">The article identifies an </w:t>
      </w:r>
      <w:r w:rsidR="002112A8">
        <w:rPr>
          <w:rFonts w:ascii="Times New Roman" w:hAnsi="Times New Roman" w:cs="Times New Roman"/>
          <w:sz w:val="24"/>
          <w:szCs w:val="24"/>
        </w:rPr>
        <w:t>alternative</w:t>
      </w:r>
      <w:r>
        <w:rPr>
          <w:rFonts w:ascii="Times New Roman" w:hAnsi="Times New Roman" w:cs="Times New Roman"/>
          <w:sz w:val="24"/>
          <w:szCs w:val="24"/>
        </w:rPr>
        <w:t xml:space="preserve"> approach</w:t>
      </w:r>
      <w:r w:rsidR="002112A8">
        <w:rPr>
          <w:rFonts w:ascii="Times New Roman" w:hAnsi="Times New Roman" w:cs="Times New Roman"/>
          <w:sz w:val="24"/>
          <w:szCs w:val="24"/>
        </w:rPr>
        <w:t>—</w:t>
      </w:r>
      <w:r w:rsidR="002112A8" w:rsidRPr="00AA0E7F">
        <w:rPr>
          <w:rFonts w:ascii="Times New Roman" w:hAnsi="Times New Roman" w:cs="Times New Roman"/>
          <w:i/>
          <w:sz w:val="24"/>
          <w:szCs w:val="24"/>
        </w:rPr>
        <w:t>sector-based</w:t>
      </w:r>
      <w:r w:rsidR="002112A8">
        <w:rPr>
          <w:rFonts w:ascii="Times New Roman" w:hAnsi="Times New Roman" w:cs="Times New Roman"/>
          <w:sz w:val="24"/>
          <w:szCs w:val="24"/>
        </w:rPr>
        <w:t xml:space="preserve"> codes of conduct (i.e. codes created at the level of the industry sector, rather than at the level of the individual company)—</w:t>
      </w:r>
      <w:r w:rsidR="002112A8" w:rsidRPr="00AA0E7F">
        <w:rPr>
          <w:rFonts w:ascii="Times New Roman" w:hAnsi="Times New Roman" w:cs="Times New Roman"/>
          <w:sz w:val="24"/>
          <w:szCs w:val="24"/>
        </w:rPr>
        <w:t xml:space="preserve">and explains why it </w:t>
      </w:r>
      <w:r>
        <w:rPr>
          <w:rFonts w:ascii="Times New Roman" w:hAnsi="Times New Roman" w:cs="Times New Roman"/>
          <w:sz w:val="24"/>
          <w:szCs w:val="24"/>
        </w:rPr>
        <w:t xml:space="preserve">avoids the problems just mentioned and </w:t>
      </w:r>
      <w:r w:rsidR="002112A8" w:rsidRPr="00AA0E7F">
        <w:rPr>
          <w:rFonts w:ascii="Times New Roman" w:hAnsi="Times New Roman" w:cs="Times New Roman"/>
          <w:sz w:val="24"/>
          <w:szCs w:val="24"/>
        </w:rPr>
        <w:t>holds the most promise going forward.</w:t>
      </w:r>
      <w:r w:rsidR="00C5302D">
        <w:rPr>
          <w:rFonts w:ascii="Times New Roman" w:hAnsi="Times New Roman" w:cs="Times New Roman"/>
          <w:kern w:val="24"/>
          <w:sz w:val="24"/>
          <w:szCs w:val="24"/>
        </w:rPr>
        <w:t xml:space="preserve"> </w:t>
      </w:r>
      <w:r>
        <w:rPr>
          <w:rFonts w:ascii="Times New Roman" w:hAnsi="Times New Roman" w:cs="Times New Roman"/>
          <w:sz w:val="24"/>
          <w:szCs w:val="24"/>
        </w:rPr>
        <w:t>It then examines the current legal landscape and sets out the reforms required in order to implement, and achieve the full benefit of, international, sector-based, codes of conduct.</w:t>
      </w:r>
      <w:r w:rsidR="00C5302D">
        <w:rPr>
          <w:rFonts w:ascii="Times New Roman" w:hAnsi="Times New Roman" w:cs="Times New Roman"/>
          <w:kern w:val="24"/>
          <w:sz w:val="24"/>
          <w:szCs w:val="24"/>
        </w:rPr>
        <w:t xml:space="preserve"> </w:t>
      </w:r>
    </w:p>
    <w:p w:rsidR="00C5302D" w:rsidRDefault="00C5302D"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article proceeds as follows.  </w:t>
      </w:r>
      <w:r w:rsidR="00630006">
        <w:rPr>
          <w:rFonts w:ascii="Times New Roman" w:hAnsi="Times New Roman" w:cs="Times New Roman"/>
          <w:sz w:val="24"/>
          <w:szCs w:val="24"/>
        </w:rPr>
        <w:t xml:space="preserve">Part I </w:t>
      </w:r>
      <w:r w:rsidR="00D573C6">
        <w:rPr>
          <w:rFonts w:ascii="Times New Roman" w:hAnsi="Times New Roman" w:cs="Times New Roman"/>
          <w:sz w:val="24"/>
          <w:szCs w:val="24"/>
        </w:rPr>
        <w:t>describes the huge growth in international data flows</w:t>
      </w:r>
      <w:r w:rsidR="0085382E">
        <w:rPr>
          <w:rFonts w:ascii="Times New Roman" w:hAnsi="Times New Roman" w:cs="Times New Roman"/>
          <w:sz w:val="24"/>
          <w:szCs w:val="24"/>
        </w:rPr>
        <w:t>, the ways in which they</w:t>
      </w:r>
      <w:r w:rsidR="001560C1">
        <w:rPr>
          <w:rFonts w:ascii="Times New Roman" w:hAnsi="Times New Roman" w:cs="Times New Roman"/>
          <w:sz w:val="24"/>
          <w:szCs w:val="24"/>
        </w:rPr>
        <w:t xml:space="preserve"> conflict with national and regional privacy laws,</w:t>
      </w:r>
      <w:r w:rsidR="00584B0F">
        <w:rPr>
          <w:rFonts w:ascii="Times New Roman" w:hAnsi="Times New Roman" w:cs="Times New Roman"/>
          <w:sz w:val="24"/>
          <w:szCs w:val="24"/>
        </w:rPr>
        <w:t xml:space="preserve"> and the challenges that this</w:t>
      </w:r>
      <w:r w:rsidR="00D573C6">
        <w:rPr>
          <w:rFonts w:ascii="Times New Roman" w:hAnsi="Times New Roman" w:cs="Times New Roman"/>
          <w:sz w:val="24"/>
          <w:szCs w:val="24"/>
        </w:rPr>
        <w:t xml:space="preserve"> create</w:t>
      </w:r>
      <w:r w:rsidR="00584B0F">
        <w:rPr>
          <w:rFonts w:ascii="Times New Roman" w:hAnsi="Times New Roman" w:cs="Times New Roman"/>
          <w:sz w:val="24"/>
          <w:szCs w:val="24"/>
        </w:rPr>
        <w:t>s</w:t>
      </w:r>
      <w:r w:rsidR="00D573C6">
        <w:rPr>
          <w:rFonts w:ascii="Times New Roman" w:hAnsi="Times New Roman" w:cs="Times New Roman"/>
          <w:sz w:val="24"/>
          <w:szCs w:val="24"/>
        </w:rPr>
        <w:t xml:space="preserve"> for privacy protection, commerce, and international relations.</w:t>
      </w:r>
      <w:r>
        <w:rPr>
          <w:rFonts w:ascii="Times New Roman" w:hAnsi="Times New Roman" w:cs="Times New Roman"/>
          <w:kern w:val="24"/>
          <w:sz w:val="24"/>
          <w:szCs w:val="24"/>
        </w:rPr>
        <w:t xml:space="preserve"> </w:t>
      </w:r>
      <w:r w:rsidR="00D573C6">
        <w:rPr>
          <w:rFonts w:ascii="Times New Roman" w:hAnsi="Times New Roman" w:cs="Times New Roman"/>
          <w:sz w:val="24"/>
          <w:szCs w:val="24"/>
        </w:rPr>
        <w:t xml:space="preserve">Part II </w:t>
      </w:r>
      <w:r w:rsidR="003B407C" w:rsidRPr="003B407C">
        <w:rPr>
          <w:rFonts w:ascii="Times New Roman" w:hAnsi="Times New Roman" w:cs="Times New Roman"/>
          <w:sz w:val="24"/>
          <w:szCs w:val="24"/>
        </w:rPr>
        <w:t>draw</w:t>
      </w:r>
      <w:r w:rsidR="00630006">
        <w:rPr>
          <w:rFonts w:ascii="Times New Roman" w:hAnsi="Times New Roman" w:cs="Times New Roman"/>
          <w:sz w:val="24"/>
          <w:szCs w:val="24"/>
        </w:rPr>
        <w:t>s</w:t>
      </w:r>
      <w:r w:rsidR="003B407C" w:rsidRPr="003B407C">
        <w:rPr>
          <w:rFonts w:ascii="Times New Roman" w:hAnsi="Times New Roman" w:cs="Times New Roman"/>
          <w:sz w:val="24"/>
          <w:szCs w:val="24"/>
        </w:rPr>
        <w:t xml:space="preserve"> on regulatory theory to assess whether direct government regulation (i.e. treaties</w:t>
      </w:r>
      <w:r w:rsidR="00C03C89">
        <w:rPr>
          <w:rFonts w:ascii="Times New Roman" w:hAnsi="Times New Roman" w:cs="Times New Roman"/>
          <w:sz w:val="24"/>
          <w:szCs w:val="24"/>
        </w:rPr>
        <w:t xml:space="preserve"> implemented by national laws</w:t>
      </w:r>
      <w:r w:rsidR="003B407C" w:rsidRPr="003B407C">
        <w:rPr>
          <w:rFonts w:ascii="Times New Roman" w:hAnsi="Times New Roman" w:cs="Times New Roman"/>
          <w:sz w:val="24"/>
          <w:szCs w:val="24"/>
        </w:rPr>
        <w:t xml:space="preserve">), pure industry self-regulation, or enforceable codes of conduct </w:t>
      </w:r>
      <w:r w:rsidR="0085382E">
        <w:rPr>
          <w:rFonts w:ascii="Times New Roman" w:hAnsi="Times New Roman" w:cs="Times New Roman"/>
          <w:sz w:val="24"/>
          <w:szCs w:val="24"/>
        </w:rPr>
        <w:t>are best suited to address this problem</w:t>
      </w:r>
      <w:r w:rsidR="00D573C6">
        <w:rPr>
          <w:rFonts w:ascii="Times New Roman" w:hAnsi="Times New Roman" w:cs="Times New Roman"/>
          <w:sz w:val="24"/>
          <w:szCs w:val="24"/>
        </w:rPr>
        <w:t>.</w:t>
      </w:r>
      <w:r>
        <w:rPr>
          <w:rFonts w:ascii="Times New Roman" w:hAnsi="Times New Roman" w:cs="Times New Roman"/>
          <w:kern w:val="24"/>
          <w:sz w:val="24"/>
          <w:szCs w:val="24"/>
        </w:rPr>
        <w:t xml:space="preserve"> </w:t>
      </w:r>
      <w:r w:rsidR="003B407C" w:rsidRPr="003B407C">
        <w:rPr>
          <w:rFonts w:ascii="Times New Roman" w:hAnsi="Times New Roman" w:cs="Times New Roman"/>
          <w:sz w:val="24"/>
          <w:szCs w:val="24"/>
        </w:rPr>
        <w:t>In so doing, it shed</w:t>
      </w:r>
      <w:r w:rsidR="00003971">
        <w:rPr>
          <w:rFonts w:ascii="Times New Roman" w:hAnsi="Times New Roman" w:cs="Times New Roman"/>
          <w:sz w:val="24"/>
          <w:szCs w:val="24"/>
        </w:rPr>
        <w:t>s</w:t>
      </w:r>
      <w:r w:rsidR="003B407C" w:rsidRPr="003B407C">
        <w:rPr>
          <w:rFonts w:ascii="Times New Roman" w:hAnsi="Times New Roman" w:cs="Times New Roman"/>
          <w:sz w:val="24"/>
          <w:szCs w:val="24"/>
        </w:rPr>
        <w:t xml:space="preserve"> light on why policymakers and practitioners have become so focused on the code of conduct approach.</w:t>
      </w:r>
      <w:r>
        <w:rPr>
          <w:rFonts w:ascii="Times New Roman" w:hAnsi="Times New Roman" w:cs="Times New Roman"/>
          <w:kern w:val="24"/>
          <w:sz w:val="24"/>
          <w:szCs w:val="24"/>
        </w:rPr>
        <w:t xml:space="preserve"> </w:t>
      </w:r>
      <w:r w:rsidR="00630006">
        <w:rPr>
          <w:rFonts w:ascii="Times New Roman" w:hAnsi="Times New Roman" w:cs="Times New Roman"/>
          <w:sz w:val="24"/>
          <w:szCs w:val="24"/>
        </w:rPr>
        <w:t xml:space="preserve">Part </w:t>
      </w:r>
      <w:r w:rsidR="00D573C6">
        <w:rPr>
          <w:rFonts w:ascii="Times New Roman" w:hAnsi="Times New Roman" w:cs="Times New Roman"/>
          <w:sz w:val="24"/>
          <w:szCs w:val="24"/>
        </w:rPr>
        <w:t>I</w:t>
      </w:r>
      <w:r w:rsidR="00630006">
        <w:rPr>
          <w:rFonts w:ascii="Times New Roman" w:hAnsi="Times New Roman" w:cs="Times New Roman"/>
          <w:sz w:val="24"/>
          <w:szCs w:val="24"/>
        </w:rPr>
        <w:t xml:space="preserve">II </w:t>
      </w:r>
      <w:r w:rsidR="003B407C" w:rsidRPr="003B407C">
        <w:rPr>
          <w:rFonts w:ascii="Times New Roman" w:hAnsi="Times New Roman" w:cs="Times New Roman"/>
          <w:sz w:val="24"/>
          <w:szCs w:val="24"/>
        </w:rPr>
        <w:t>evaluate</w:t>
      </w:r>
      <w:r w:rsidR="00630006">
        <w:rPr>
          <w:rFonts w:ascii="Times New Roman" w:hAnsi="Times New Roman" w:cs="Times New Roman"/>
          <w:sz w:val="24"/>
          <w:szCs w:val="24"/>
        </w:rPr>
        <w:t>s</w:t>
      </w:r>
      <w:r w:rsidR="003B407C" w:rsidRPr="003B407C">
        <w:rPr>
          <w:rFonts w:ascii="Times New Roman" w:hAnsi="Times New Roman" w:cs="Times New Roman"/>
          <w:sz w:val="24"/>
          <w:szCs w:val="24"/>
        </w:rPr>
        <w:t xml:space="preserve"> the current</w:t>
      </w:r>
      <w:r w:rsidR="0085382E">
        <w:rPr>
          <w:rFonts w:ascii="Times New Roman" w:hAnsi="Times New Roman" w:cs="Times New Roman"/>
          <w:sz w:val="24"/>
          <w:szCs w:val="24"/>
        </w:rPr>
        <w:t xml:space="preserve"> code of conduct</w:t>
      </w:r>
      <w:r w:rsidR="003B407C" w:rsidRPr="003B407C">
        <w:rPr>
          <w:rFonts w:ascii="Times New Roman" w:hAnsi="Times New Roman" w:cs="Times New Roman"/>
          <w:sz w:val="24"/>
          <w:szCs w:val="24"/>
        </w:rPr>
        <w:t xml:space="preserve"> initiatives – </w:t>
      </w:r>
      <w:r>
        <w:rPr>
          <w:rFonts w:ascii="Times New Roman" w:hAnsi="Times New Roman" w:cs="Times New Roman"/>
          <w:sz w:val="24"/>
          <w:szCs w:val="24"/>
        </w:rPr>
        <w:t>Binding Corporate Rules</w:t>
      </w:r>
      <w:r w:rsidR="003B407C" w:rsidRPr="003B407C">
        <w:rPr>
          <w:rFonts w:ascii="Times New Roman" w:hAnsi="Times New Roman" w:cs="Times New Roman"/>
          <w:sz w:val="24"/>
          <w:szCs w:val="24"/>
        </w:rPr>
        <w:t xml:space="preserve">, APEC Cross-Border Privacy Rules, </w:t>
      </w:r>
      <w:r w:rsidR="00630006">
        <w:rPr>
          <w:rFonts w:ascii="Times New Roman" w:hAnsi="Times New Roman" w:cs="Times New Roman"/>
          <w:sz w:val="24"/>
          <w:szCs w:val="24"/>
        </w:rPr>
        <w:t xml:space="preserve">and the </w:t>
      </w:r>
      <w:r w:rsidR="001C6D99">
        <w:rPr>
          <w:rFonts w:ascii="Times New Roman" w:hAnsi="Times New Roman" w:cs="Times New Roman"/>
          <w:sz w:val="24"/>
          <w:szCs w:val="24"/>
        </w:rPr>
        <w:t>US</w:t>
      </w:r>
      <w:r w:rsidR="00BE6278">
        <w:rPr>
          <w:rFonts w:ascii="Times New Roman" w:hAnsi="Times New Roman" w:cs="Times New Roman"/>
          <w:sz w:val="24"/>
          <w:szCs w:val="24"/>
        </w:rPr>
        <w:t>-</w:t>
      </w:r>
      <w:r w:rsidR="001C6D99">
        <w:rPr>
          <w:rFonts w:ascii="Times New Roman" w:hAnsi="Times New Roman" w:cs="Times New Roman"/>
          <w:sz w:val="24"/>
          <w:szCs w:val="24"/>
        </w:rPr>
        <w:t>E.U.</w:t>
      </w:r>
      <w:r w:rsidR="00BE6278">
        <w:rPr>
          <w:rFonts w:ascii="Times New Roman" w:hAnsi="Times New Roman" w:cs="Times New Roman"/>
          <w:sz w:val="24"/>
          <w:szCs w:val="24"/>
        </w:rPr>
        <w:t xml:space="preserve"> Safe Harbor Agreement</w:t>
      </w:r>
      <w:r w:rsidR="00003971">
        <w:rPr>
          <w:rFonts w:ascii="Times New Roman" w:hAnsi="Times New Roman" w:cs="Times New Roman"/>
          <w:sz w:val="24"/>
          <w:szCs w:val="24"/>
        </w:rPr>
        <w:t>.</w:t>
      </w:r>
      <w:r>
        <w:rPr>
          <w:rFonts w:ascii="Times New Roman" w:hAnsi="Times New Roman" w:cs="Times New Roman"/>
          <w:kern w:val="24"/>
          <w:sz w:val="24"/>
          <w:szCs w:val="24"/>
        </w:rPr>
        <w:t xml:space="preserve">  </w:t>
      </w:r>
      <w:r w:rsidR="00B719B0">
        <w:rPr>
          <w:rFonts w:ascii="Times New Roman" w:hAnsi="Times New Roman" w:cs="Times New Roman"/>
          <w:sz w:val="24"/>
          <w:szCs w:val="24"/>
        </w:rPr>
        <w:t xml:space="preserve">It </w:t>
      </w:r>
      <w:r w:rsidR="00584B0F">
        <w:rPr>
          <w:rFonts w:ascii="Times New Roman" w:hAnsi="Times New Roman" w:cs="Times New Roman"/>
          <w:sz w:val="24"/>
          <w:szCs w:val="24"/>
        </w:rPr>
        <w:t xml:space="preserve">explains that each of these initiatives focus on </w:t>
      </w:r>
      <w:r w:rsidR="00B719B0">
        <w:rPr>
          <w:rFonts w:ascii="Times New Roman" w:hAnsi="Times New Roman" w:cs="Times New Roman"/>
          <w:sz w:val="24"/>
          <w:szCs w:val="24"/>
        </w:rPr>
        <w:t>firm-based codes of conduct (</w:t>
      </w:r>
      <w:r w:rsidR="00584B0F">
        <w:rPr>
          <w:rFonts w:ascii="Times New Roman" w:hAnsi="Times New Roman" w:cs="Times New Roman"/>
          <w:sz w:val="24"/>
          <w:szCs w:val="24"/>
        </w:rPr>
        <w:t xml:space="preserve">i.e., </w:t>
      </w:r>
      <w:r w:rsidR="00B719B0">
        <w:rPr>
          <w:rFonts w:ascii="Times New Roman" w:hAnsi="Times New Roman" w:cs="Times New Roman"/>
          <w:sz w:val="24"/>
          <w:szCs w:val="24"/>
        </w:rPr>
        <w:t>codes negotiated at the level of the individual firm)</w:t>
      </w:r>
      <w:r w:rsidR="00584B0F">
        <w:rPr>
          <w:rFonts w:ascii="Times New Roman" w:hAnsi="Times New Roman" w:cs="Times New Roman"/>
          <w:sz w:val="24"/>
          <w:szCs w:val="24"/>
        </w:rPr>
        <w:t xml:space="preserve">, and that </w:t>
      </w:r>
      <w:r w:rsidR="00524E6A">
        <w:rPr>
          <w:rFonts w:ascii="Times New Roman" w:hAnsi="Times New Roman" w:cs="Times New Roman"/>
          <w:sz w:val="24"/>
          <w:szCs w:val="24"/>
        </w:rPr>
        <w:t xml:space="preserve">this </w:t>
      </w:r>
      <w:r w:rsidR="00584B0F">
        <w:rPr>
          <w:rFonts w:ascii="Times New Roman" w:hAnsi="Times New Roman" w:cs="Times New Roman"/>
          <w:sz w:val="24"/>
          <w:szCs w:val="24"/>
        </w:rPr>
        <w:t>decreases their effectiveness</w:t>
      </w:r>
      <w:r w:rsidR="00B719B0">
        <w:rPr>
          <w:rFonts w:ascii="Times New Roman" w:hAnsi="Times New Roman" w:cs="Times New Roman"/>
          <w:sz w:val="24"/>
          <w:szCs w:val="24"/>
        </w:rPr>
        <w:t>.</w:t>
      </w:r>
      <w:r>
        <w:rPr>
          <w:rFonts w:ascii="Times New Roman" w:hAnsi="Times New Roman" w:cs="Times New Roman"/>
          <w:kern w:val="24"/>
          <w:sz w:val="24"/>
          <w:szCs w:val="24"/>
        </w:rPr>
        <w:t xml:space="preserve"> </w:t>
      </w:r>
      <w:r w:rsidR="00B719B0">
        <w:rPr>
          <w:rFonts w:ascii="Times New Roman" w:hAnsi="Times New Roman" w:cs="Times New Roman"/>
          <w:sz w:val="24"/>
          <w:szCs w:val="24"/>
        </w:rPr>
        <w:t>It argues that sector-based</w:t>
      </w:r>
      <w:r w:rsidR="00584B0F">
        <w:rPr>
          <w:rFonts w:ascii="Times New Roman" w:hAnsi="Times New Roman" w:cs="Times New Roman"/>
          <w:sz w:val="24"/>
          <w:szCs w:val="24"/>
        </w:rPr>
        <w:t>, cross-border</w:t>
      </w:r>
      <w:r w:rsidR="00B719B0">
        <w:rPr>
          <w:rFonts w:ascii="Times New Roman" w:hAnsi="Times New Roman" w:cs="Times New Roman"/>
          <w:sz w:val="24"/>
          <w:szCs w:val="24"/>
        </w:rPr>
        <w:t xml:space="preserve"> codes </w:t>
      </w:r>
      <w:r w:rsidR="00584B0F">
        <w:rPr>
          <w:rFonts w:ascii="Times New Roman" w:hAnsi="Times New Roman" w:cs="Times New Roman"/>
          <w:sz w:val="24"/>
          <w:szCs w:val="24"/>
        </w:rPr>
        <w:t xml:space="preserve">of conduct </w:t>
      </w:r>
      <w:r w:rsidR="00B719B0">
        <w:rPr>
          <w:rFonts w:ascii="Times New Roman" w:hAnsi="Times New Roman" w:cs="Times New Roman"/>
          <w:sz w:val="24"/>
          <w:szCs w:val="24"/>
        </w:rPr>
        <w:t>would work much better.</w:t>
      </w:r>
      <w:r w:rsidR="003B407C" w:rsidRPr="00AA0E7F">
        <w:rPr>
          <w:rFonts w:ascii="Times New Roman" w:hAnsi="Times New Roman" w:cs="Times New Roman"/>
          <w:sz w:val="24"/>
          <w:szCs w:val="24"/>
        </w:rPr>
        <w:t xml:space="preserve"> </w:t>
      </w:r>
      <w:r w:rsidR="00D573C6" w:rsidRPr="00B719B0">
        <w:rPr>
          <w:rFonts w:ascii="Times New Roman" w:hAnsi="Times New Roman" w:cs="Times New Roman"/>
          <w:sz w:val="24"/>
          <w:szCs w:val="24"/>
        </w:rPr>
        <w:t>Part IV</w:t>
      </w:r>
      <w:r w:rsidR="00630006" w:rsidRPr="00B719B0">
        <w:rPr>
          <w:rFonts w:ascii="Times New Roman" w:hAnsi="Times New Roman" w:cs="Times New Roman"/>
          <w:sz w:val="24"/>
          <w:szCs w:val="24"/>
        </w:rPr>
        <w:t xml:space="preserve"> analyzes whether </w:t>
      </w:r>
      <w:r w:rsidR="003B407C" w:rsidRPr="00B719B0">
        <w:rPr>
          <w:rFonts w:ascii="Times New Roman" w:hAnsi="Times New Roman" w:cs="Times New Roman"/>
          <w:sz w:val="24"/>
          <w:szCs w:val="24"/>
        </w:rPr>
        <w:t>existing legal mechanisms can support cross-border</w:t>
      </w:r>
      <w:r w:rsidR="00AA0E7F" w:rsidRPr="00B719B0">
        <w:rPr>
          <w:rFonts w:ascii="Times New Roman" w:hAnsi="Times New Roman" w:cs="Times New Roman"/>
          <w:sz w:val="24"/>
          <w:szCs w:val="24"/>
        </w:rPr>
        <w:t xml:space="preserve">, sector-based </w:t>
      </w:r>
      <w:r w:rsidR="00003971" w:rsidRPr="00B719B0">
        <w:rPr>
          <w:rFonts w:ascii="Times New Roman" w:hAnsi="Times New Roman" w:cs="Times New Roman"/>
          <w:sz w:val="24"/>
          <w:szCs w:val="24"/>
        </w:rPr>
        <w:t>codes of conduct.</w:t>
      </w:r>
      <w:r>
        <w:rPr>
          <w:rFonts w:ascii="Times New Roman" w:hAnsi="Times New Roman" w:cs="Times New Roman"/>
          <w:kern w:val="24"/>
          <w:sz w:val="24"/>
          <w:szCs w:val="24"/>
        </w:rPr>
        <w:t xml:space="preserve"> </w:t>
      </w:r>
      <w:r w:rsidR="00BE6278">
        <w:rPr>
          <w:rFonts w:ascii="Times New Roman" w:hAnsi="Times New Roman" w:cs="Times New Roman"/>
          <w:sz w:val="24"/>
          <w:szCs w:val="24"/>
        </w:rPr>
        <w:t>It shows that many of the necessary pieces are already in place.</w:t>
      </w:r>
      <w:r>
        <w:rPr>
          <w:rFonts w:ascii="Times New Roman" w:hAnsi="Times New Roman" w:cs="Times New Roman"/>
          <w:kern w:val="24"/>
          <w:sz w:val="24"/>
          <w:szCs w:val="24"/>
        </w:rPr>
        <w:t xml:space="preserve"> </w:t>
      </w:r>
      <w:r w:rsidR="00BE6278">
        <w:rPr>
          <w:rFonts w:ascii="Times New Roman" w:hAnsi="Times New Roman" w:cs="Times New Roman"/>
          <w:sz w:val="24"/>
          <w:szCs w:val="24"/>
        </w:rPr>
        <w:t xml:space="preserve">It identifies the legal reforms </w:t>
      </w:r>
      <w:r w:rsidR="0014657C">
        <w:rPr>
          <w:rFonts w:ascii="Times New Roman" w:hAnsi="Times New Roman" w:cs="Times New Roman"/>
          <w:sz w:val="24"/>
          <w:szCs w:val="24"/>
        </w:rPr>
        <w:t xml:space="preserve">that will be </w:t>
      </w:r>
      <w:r w:rsidR="00BE6278">
        <w:rPr>
          <w:rFonts w:ascii="Times New Roman" w:hAnsi="Times New Roman" w:cs="Times New Roman"/>
          <w:sz w:val="24"/>
          <w:szCs w:val="24"/>
        </w:rPr>
        <w:t xml:space="preserve">needed to </w:t>
      </w:r>
      <w:r w:rsidR="00D3249C">
        <w:rPr>
          <w:rFonts w:ascii="Times New Roman" w:hAnsi="Times New Roman" w:cs="Times New Roman"/>
          <w:sz w:val="24"/>
          <w:szCs w:val="24"/>
        </w:rPr>
        <w:t>ma</w:t>
      </w:r>
      <w:r w:rsidR="00D573C6">
        <w:rPr>
          <w:rFonts w:ascii="Times New Roman" w:hAnsi="Times New Roman" w:cs="Times New Roman"/>
          <w:sz w:val="24"/>
          <w:szCs w:val="24"/>
        </w:rPr>
        <w:t xml:space="preserve">ke this approach work and so </w:t>
      </w:r>
      <w:r w:rsidR="00D573C6">
        <w:rPr>
          <w:rFonts w:ascii="Times New Roman" w:hAnsi="Times New Roman" w:cs="Times New Roman"/>
          <w:kern w:val="24"/>
          <w:sz w:val="24"/>
          <w:szCs w:val="24"/>
        </w:rPr>
        <w:t xml:space="preserve">move us closer to </w:t>
      </w:r>
      <w:r w:rsidR="00371534">
        <w:rPr>
          <w:rFonts w:ascii="Times New Roman" w:hAnsi="Times New Roman" w:cs="Times New Roman"/>
          <w:kern w:val="24"/>
          <w:sz w:val="24"/>
          <w:szCs w:val="24"/>
        </w:rPr>
        <w:t>the</w:t>
      </w:r>
      <w:r w:rsidR="00D573C6">
        <w:rPr>
          <w:rFonts w:ascii="Times New Roman" w:hAnsi="Times New Roman" w:cs="Times New Roman"/>
          <w:kern w:val="24"/>
          <w:sz w:val="24"/>
          <w:szCs w:val="24"/>
        </w:rPr>
        <w:t xml:space="preserve"> Holy Grail of international data protection: </w:t>
      </w:r>
      <w:r w:rsidR="00B719B0">
        <w:rPr>
          <w:rFonts w:ascii="Times New Roman" w:hAnsi="Times New Roman" w:cs="Times New Roman"/>
          <w:kern w:val="24"/>
          <w:sz w:val="24"/>
          <w:szCs w:val="24"/>
        </w:rPr>
        <w:t xml:space="preserve">clear, protective and </w:t>
      </w:r>
      <w:r w:rsidR="0085382E">
        <w:rPr>
          <w:rFonts w:ascii="Times New Roman" w:hAnsi="Times New Roman" w:cs="Times New Roman"/>
          <w:kern w:val="24"/>
          <w:sz w:val="24"/>
          <w:szCs w:val="24"/>
        </w:rPr>
        <w:t xml:space="preserve">effective </w:t>
      </w:r>
      <w:r w:rsidR="00D573C6">
        <w:rPr>
          <w:rFonts w:ascii="Times New Roman" w:hAnsi="Times New Roman" w:cs="Times New Roman"/>
          <w:kern w:val="24"/>
          <w:sz w:val="24"/>
          <w:szCs w:val="24"/>
        </w:rPr>
        <w:t>global privacy rules.</w:t>
      </w:r>
    </w:p>
    <w:p w:rsidR="00C5302D" w:rsidRDefault="00C5302D" w:rsidP="001610E3">
      <w:pPr>
        <w:autoSpaceDE w:val="0"/>
        <w:autoSpaceDN w:val="0"/>
        <w:adjustRightInd w:val="0"/>
        <w:spacing w:after="0" w:line="480" w:lineRule="auto"/>
        <w:ind w:firstLine="720"/>
        <w:rPr>
          <w:rFonts w:ascii="Times New Roman" w:hAnsi="Times New Roman" w:cs="Times New Roman"/>
          <w:kern w:val="24"/>
          <w:sz w:val="24"/>
          <w:szCs w:val="24"/>
        </w:rPr>
      </w:pPr>
    </w:p>
    <w:p w:rsidR="009A0BD0" w:rsidRPr="00C5302D" w:rsidRDefault="00AD3C61" w:rsidP="00524E6A">
      <w:pPr>
        <w:rPr>
          <w:rFonts w:ascii="Times New Roman" w:hAnsi="Times New Roman" w:cs="Times New Roman"/>
          <w:b/>
          <w:kern w:val="24"/>
          <w:sz w:val="24"/>
          <w:szCs w:val="24"/>
        </w:rPr>
      </w:pPr>
      <w:r>
        <w:rPr>
          <w:rFonts w:ascii="Times New Roman" w:hAnsi="Times New Roman" w:cs="Times New Roman"/>
          <w:b/>
          <w:kern w:val="24"/>
          <w:sz w:val="24"/>
          <w:szCs w:val="24"/>
        </w:rPr>
        <w:br w:type="page"/>
      </w:r>
      <w:r w:rsidR="00C5302D" w:rsidRPr="00C5302D">
        <w:rPr>
          <w:rFonts w:ascii="Times New Roman" w:hAnsi="Times New Roman" w:cs="Times New Roman"/>
          <w:b/>
          <w:kern w:val="24"/>
          <w:sz w:val="24"/>
          <w:szCs w:val="24"/>
        </w:rPr>
        <w:lastRenderedPageBreak/>
        <w:t>I.</w:t>
      </w:r>
      <w:r w:rsidR="007E18ED" w:rsidRPr="00C5302D">
        <w:rPr>
          <w:rFonts w:ascii="Times New Roman" w:hAnsi="Times New Roman" w:cs="Times New Roman"/>
          <w:b/>
          <w:kern w:val="24"/>
          <w:sz w:val="24"/>
          <w:szCs w:val="24"/>
        </w:rPr>
        <w:t xml:space="preserve"> Global Data Flows, National Privacy Laws, and the Problems They Create for One Another.</w:t>
      </w:r>
    </w:p>
    <w:p w:rsidR="00D814F4" w:rsidRDefault="00D814F4" w:rsidP="001610E3">
      <w:pPr>
        <w:autoSpaceDE w:val="0"/>
        <w:autoSpaceDN w:val="0"/>
        <w:adjustRightInd w:val="0"/>
        <w:spacing w:after="0" w:line="480" w:lineRule="auto"/>
        <w:rPr>
          <w:rFonts w:ascii="Times New Roman" w:hAnsi="Times New Roman" w:cs="Times New Roman"/>
          <w:sz w:val="24"/>
          <w:szCs w:val="24"/>
        </w:rPr>
      </w:pPr>
    </w:p>
    <w:p w:rsidR="001D01DA" w:rsidRDefault="00A60DE7" w:rsidP="00AD3C61">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sz w:val="24"/>
          <w:szCs w:val="24"/>
        </w:rPr>
        <w:t>Technology leaps forward and changes social realities.  The law evolves slowly to address these new challenges.</w:t>
      </w:r>
      <w:r w:rsidR="00FC2B7B">
        <w:rPr>
          <w:rFonts w:ascii="Times New Roman" w:hAnsi="Times New Roman" w:cs="Times New Roman"/>
          <w:sz w:val="24"/>
          <w:szCs w:val="24"/>
        </w:rPr>
        <w:t xml:space="preserve"> </w:t>
      </w:r>
      <w:r>
        <w:rPr>
          <w:rFonts w:ascii="Times New Roman" w:hAnsi="Times New Roman" w:cs="Times New Roman"/>
          <w:sz w:val="24"/>
          <w:szCs w:val="24"/>
        </w:rPr>
        <w:t xml:space="preserve">For a time, there is a mismatch between technology and society on the one hand, and law on the other. </w:t>
      </w:r>
      <w:r w:rsidR="00584B0F">
        <w:rPr>
          <w:rFonts w:ascii="Times New Roman" w:hAnsi="Times New Roman" w:cs="Times New Roman"/>
          <w:sz w:val="24"/>
          <w:szCs w:val="24"/>
        </w:rPr>
        <w:t xml:space="preserve">Eventually, the law adapts to the new realities.  </w:t>
      </w:r>
      <w:r>
        <w:rPr>
          <w:rFonts w:ascii="Times New Roman" w:hAnsi="Times New Roman" w:cs="Times New Roman"/>
          <w:sz w:val="24"/>
          <w:szCs w:val="24"/>
        </w:rPr>
        <w:t>This is an old story, repeated in many contexts.</w:t>
      </w:r>
      <w:r w:rsidR="00FC2B7B">
        <w:rPr>
          <w:rStyle w:val="FootnoteReference"/>
          <w:rFonts w:ascii="Times New Roman" w:hAnsi="Times New Roman" w:cs="Times New Roman"/>
          <w:sz w:val="24"/>
          <w:szCs w:val="24"/>
        </w:rPr>
        <w:footnoteReference w:id="13"/>
      </w:r>
      <w:r w:rsidR="00FC2B7B">
        <w:rPr>
          <w:rFonts w:ascii="Times New Roman" w:hAnsi="Times New Roman" w:cs="Times New Roman"/>
          <w:kern w:val="24"/>
          <w:sz w:val="24"/>
          <w:szCs w:val="24"/>
        </w:rPr>
        <w:t xml:space="preserve"> </w:t>
      </w:r>
      <w:r>
        <w:rPr>
          <w:rFonts w:ascii="Times New Roman" w:hAnsi="Times New Roman" w:cs="Times New Roman"/>
          <w:sz w:val="24"/>
          <w:szCs w:val="24"/>
        </w:rPr>
        <w:t>The rise of global data flows, and their conflict with slow-changing national and regional privacy laws, is this story on steroids.</w:t>
      </w:r>
      <w:r w:rsidR="00FC2B7B">
        <w:rPr>
          <w:rFonts w:ascii="Times New Roman" w:hAnsi="Times New Roman" w:cs="Times New Roman"/>
          <w:sz w:val="24"/>
          <w:szCs w:val="24"/>
        </w:rPr>
        <w:t xml:space="preserve"> </w:t>
      </w:r>
      <w:r>
        <w:rPr>
          <w:rFonts w:ascii="Times New Roman" w:hAnsi="Times New Roman" w:cs="Times New Roman"/>
          <w:sz w:val="24"/>
          <w:szCs w:val="24"/>
        </w:rPr>
        <w:t>The establishment of the Internet, and the consequent increase in cross-border data transfers, has been dizzying in its speed, size and complexity. The disjunction between this rapidly expanding global data network, and the national and regional laws that seek to govern it, is profound and problematic.</w:t>
      </w:r>
    </w:p>
    <w:p w:rsidR="00AD3C61" w:rsidRPr="00A60DE7" w:rsidRDefault="00AD3C61" w:rsidP="00AD3C61">
      <w:pPr>
        <w:autoSpaceDE w:val="0"/>
        <w:autoSpaceDN w:val="0"/>
        <w:adjustRightInd w:val="0"/>
        <w:spacing w:after="0" w:line="480" w:lineRule="auto"/>
        <w:ind w:firstLine="720"/>
        <w:rPr>
          <w:rFonts w:ascii="Times New Roman" w:hAnsi="Times New Roman" w:cs="Times New Roman"/>
          <w:kern w:val="24"/>
          <w:sz w:val="24"/>
          <w:szCs w:val="24"/>
        </w:rPr>
      </w:pPr>
    </w:p>
    <w:p w:rsidR="00FC2B7B" w:rsidRPr="00AD3C61" w:rsidRDefault="00FC2B7B" w:rsidP="001610E3">
      <w:pPr>
        <w:pStyle w:val="ListParagraph"/>
        <w:numPr>
          <w:ilvl w:val="1"/>
          <w:numId w:val="6"/>
        </w:numPr>
        <w:autoSpaceDE w:val="0"/>
        <w:autoSpaceDN w:val="0"/>
        <w:adjustRightInd w:val="0"/>
        <w:spacing w:after="0" w:line="480" w:lineRule="auto"/>
        <w:rPr>
          <w:rFonts w:ascii="Times New Roman" w:hAnsi="Times New Roman" w:cs="Times New Roman"/>
          <w:kern w:val="24"/>
          <w:sz w:val="24"/>
          <w:szCs w:val="24"/>
          <w:u w:val="single"/>
        </w:rPr>
      </w:pPr>
      <w:r w:rsidRPr="00FC2B7B">
        <w:rPr>
          <w:rFonts w:ascii="Times New Roman" w:hAnsi="Times New Roman" w:cs="Times New Roman"/>
          <w:sz w:val="24"/>
          <w:szCs w:val="24"/>
          <w:u w:val="single"/>
        </w:rPr>
        <w:t>Global Data F</w:t>
      </w:r>
      <w:r w:rsidR="00A60DE7" w:rsidRPr="00FC2B7B">
        <w:rPr>
          <w:rFonts w:ascii="Times New Roman" w:hAnsi="Times New Roman" w:cs="Times New Roman"/>
          <w:sz w:val="24"/>
          <w:szCs w:val="24"/>
          <w:u w:val="single"/>
        </w:rPr>
        <w:t>lows</w:t>
      </w:r>
    </w:p>
    <w:p w:rsidR="00924F5F" w:rsidRPr="00924F5F" w:rsidRDefault="00A60DE7" w:rsidP="001610E3">
      <w:pPr>
        <w:autoSpaceDE w:val="0"/>
        <w:autoSpaceDN w:val="0"/>
        <w:adjustRightInd w:val="0"/>
        <w:spacing w:after="0" w:line="480" w:lineRule="auto"/>
        <w:ind w:firstLine="360"/>
        <w:rPr>
          <w:rFonts w:ascii="Times New Roman" w:hAnsi="Times New Roman" w:cs="Times New Roman"/>
          <w:kern w:val="24"/>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world wide web</w:t>
      </w:r>
      <w:proofErr w:type="gramEnd"/>
      <w:r>
        <w:rPr>
          <w:rFonts w:ascii="Times New Roman" w:hAnsi="Times New Roman" w:cs="Times New Roman"/>
          <w:sz w:val="24"/>
          <w:szCs w:val="24"/>
        </w:rPr>
        <w:t xml:space="preserve"> (www) is just that.  It creates a global architecture for the transfer of digital data that does not respect national or regional boundaries.</w:t>
      </w:r>
      <w:r>
        <w:rPr>
          <w:rStyle w:val="FootnoteReference"/>
          <w:rFonts w:ascii="Times New Roman" w:hAnsi="Times New Roman" w:cs="Times New Roman"/>
          <w:kern w:val="24"/>
          <w:sz w:val="24"/>
          <w:szCs w:val="24"/>
        </w:rPr>
        <w:footnoteReference w:id="14"/>
      </w:r>
      <w:r w:rsidR="001D01DA">
        <w:rPr>
          <w:rFonts w:ascii="Times New Roman" w:hAnsi="Times New Roman" w:cs="Times New Roman"/>
          <w:kern w:val="24"/>
          <w:sz w:val="24"/>
          <w:szCs w:val="24"/>
        </w:rPr>
        <w:t xml:space="preserve"> </w:t>
      </w:r>
      <w:r>
        <w:rPr>
          <w:rFonts w:ascii="Times New Roman" w:hAnsi="Times New Roman" w:cs="Times New Roman"/>
          <w:sz w:val="24"/>
          <w:szCs w:val="24"/>
        </w:rPr>
        <w:t xml:space="preserve">It should not be surprising, then, that the </w:t>
      </w:r>
      <w:r w:rsidR="00924F5F">
        <w:rPr>
          <w:rFonts w:ascii="Times New Roman" w:hAnsi="Times New Roman" w:cs="Times New Roman"/>
          <w:sz w:val="24"/>
          <w:szCs w:val="24"/>
        </w:rPr>
        <w:t xml:space="preserve">emergence of the Internet </w:t>
      </w:r>
      <w:r>
        <w:rPr>
          <w:rFonts w:ascii="Times New Roman" w:hAnsi="Times New Roman" w:cs="Times New Roman"/>
          <w:sz w:val="24"/>
          <w:szCs w:val="24"/>
        </w:rPr>
        <w:t>(</w:t>
      </w:r>
      <w:r w:rsidR="00924F5F">
        <w:rPr>
          <w:rFonts w:ascii="Times New Roman" w:hAnsi="Times New Roman" w:cs="Times New Roman"/>
          <w:sz w:val="24"/>
          <w:szCs w:val="24"/>
        </w:rPr>
        <w:t>and, subsequently, the Cloud</w:t>
      </w:r>
      <w:r>
        <w:rPr>
          <w:rFonts w:ascii="Times New Roman" w:hAnsi="Times New Roman" w:cs="Times New Roman"/>
          <w:sz w:val="24"/>
          <w:szCs w:val="24"/>
        </w:rPr>
        <w:t>)</w:t>
      </w:r>
      <w:r w:rsidR="001D01DA" w:rsidRPr="001D01DA">
        <w:rPr>
          <w:rStyle w:val="FootnoteReference"/>
          <w:rFonts w:ascii="Times New Roman" w:hAnsi="Times New Roman" w:cs="Times New Roman"/>
          <w:sz w:val="24"/>
          <w:szCs w:val="24"/>
        </w:rPr>
        <w:t xml:space="preserve"> </w:t>
      </w:r>
      <w:r w:rsidR="001D01DA">
        <w:rPr>
          <w:rStyle w:val="FootnoteReference"/>
          <w:rFonts w:ascii="Times New Roman" w:hAnsi="Times New Roman" w:cs="Times New Roman"/>
          <w:sz w:val="24"/>
          <w:szCs w:val="24"/>
        </w:rPr>
        <w:footnoteReference w:id="15"/>
      </w:r>
      <w:r w:rsidR="00924F5F">
        <w:rPr>
          <w:rFonts w:ascii="Times New Roman" w:hAnsi="Times New Roman" w:cs="Times New Roman"/>
          <w:sz w:val="24"/>
          <w:szCs w:val="24"/>
        </w:rPr>
        <w:t xml:space="preserve"> have </w:t>
      </w:r>
      <w:r w:rsidR="00950C3C">
        <w:rPr>
          <w:rFonts w:ascii="Times New Roman" w:hAnsi="Times New Roman" w:cs="Times New Roman"/>
          <w:sz w:val="24"/>
          <w:szCs w:val="24"/>
        </w:rPr>
        <w:t xml:space="preserve">exponentially </w:t>
      </w:r>
      <w:r w:rsidR="00924F5F">
        <w:rPr>
          <w:rFonts w:ascii="Times New Roman" w:hAnsi="Times New Roman" w:cs="Times New Roman"/>
          <w:sz w:val="24"/>
          <w:szCs w:val="24"/>
        </w:rPr>
        <w:t xml:space="preserve">increased the speed, and decreased the cost, of </w:t>
      </w:r>
      <w:r>
        <w:rPr>
          <w:rFonts w:ascii="Times New Roman" w:hAnsi="Times New Roman" w:cs="Times New Roman"/>
          <w:sz w:val="24"/>
          <w:szCs w:val="24"/>
        </w:rPr>
        <w:t xml:space="preserve">cross-border transfers of personal </w:t>
      </w:r>
      <w:r w:rsidR="00924F5F">
        <w:rPr>
          <w:rFonts w:ascii="Times New Roman" w:hAnsi="Times New Roman" w:cs="Times New Roman"/>
          <w:sz w:val="24"/>
          <w:szCs w:val="24"/>
        </w:rPr>
        <w:t xml:space="preserve">data. </w:t>
      </w:r>
      <w:r w:rsidR="00D44404">
        <w:rPr>
          <w:rFonts w:ascii="Times New Roman" w:hAnsi="Times New Roman" w:cs="Times New Roman"/>
          <w:sz w:val="24"/>
          <w:szCs w:val="24"/>
        </w:rPr>
        <w:t>As Professor Paul Schwartz has explained, t</w:t>
      </w:r>
      <w:r w:rsidR="008E0A9B">
        <w:rPr>
          <w:rFonts w:ascii="Times New Roman" w:hAnsi="Times New Roman" w:cs="Times New Roman"/>
          <w:sz w:val="24"/>
          <w:szCs w:val="24"/>
        </w:rPr>
        <w:t>his has led to three, related changes in data processing</w:t>
      </w:r>
      <w:r w:rsidR="00924F5F">
        <w:rPr>
          <w:rFonts w:ascii="Times New Roman" w:hAnsi="Times New Roman" w:cs="Times New Roman"/>
          <w:sz w:val="24"/>
          <w:szCs w:val="24"/>
        </w:rPr>
        <w:t>.</w:t>
      </w:r>
      <w:r w:rsidR="00924F5F">
        <w:rPr>
          <w:rStyle w:val="FootnoteReference"/>
          <w:rFonts w:ascii="Times New Roman" w:hAnsi="Times New Roman" w:cs="Times New Roman"/>
          <w:sz w:val="24"/>
          <w:szCs w:val="24"/>
        </w:rPr>
        <w:footnoteReference w:id="16"/>
      </w:r>
    </w:p>
    <w:p w:rsidR="00D44404" w:rsidRDefault="00950C3C"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First, it has </w:t>
      </w:r>
      <w:r w:rsidR="00AF7FD8">
        <w:rPr>
          <w:rFonts w:ascii="Times New Roman" w:hAnsi="Times New Roman" w:cs="Times New Roman"/>
          <w:kern w:val="24"/>
          <w:sz w:val="24"/>
          <w:szCs w:val="24"/>
        </w:rPr>
        <w:t xml:space="preserve">increasingly </w:t>
      </w:r>
      <w:r>
        <w:rPr>
          <w:rFonts w:ascii="Times New Roman" w:hAnsi="Times New Roman" w:cs="Times New Roman"/>
          <w:kern w:val="24"/>
          <w:sz w:val="24"/>
          <w:szCs w:val="24"/>
        </w:rPr>
        <w:t>made data processing into a cross-border affair</w:t>
      </w:r>
      <w:r w:rsidR="00D6674A">
        <w:rPr>
          <w:rFonts w:ascii="Times New Roman" w:hAnsi="Times New Roman" w:cs="Times New Roman"/>
          <w:kern w:val="24"/>
          <w:sz w:val="24"/>
          <w:szCs w:val="24"/>
        </w:rPr>
        <w:t>.</w:t>
      </w:r>
      <w:r w:rsidR="001D01DA">
        <w:rPr>
          <w:rFonts w:ascii="Times New Roman" w:hAnsi="Times New Roman" w:cs="Times New Roman"/>
          <w:kern w:val="24"/>
          <w:sz w:val="24"/>
          <w:szCs w:val="24"/>
        </w:rPr>
        <w:t xml:space="preserve"> </w:t>
      </w:r>
      <w:r w:rsidR="008E0A9B">
        <w:rPr>
          <w:rFonts w:ascii="Times New Roman" w:hAnsi="Times New Roman" w:cs="Times New Roman"/>
          <w:kern w:val="24"/>
          <w:sz w:val="24"/>
          <w:szCs w:val="24"/>
        </w:rPr>
        <w:t xml:space="preserve">Prior to the </w:t>
      </w:r>
      <w:r w:rsidR="00E11B34">
        <w:rPr>
          <w:rFonts w:ascii="Times New Roman" w:hAnsi="Times New Roman" w:cs="Times New Roman"/>
          <w:kern w:val="24"/>
          <w:sz w:val="24"/>
          <w:szCs w:val="24"/>
        </w:rPr>
        <w:t xml:space="preserve">rise of the Internet, most data processing </w:t>
      </w:r>
      <w:r w:rsidR="00E11B34" w:rsidRPr="00E11B34">
        <w:rPr>
          <w:rFonts w:ascii="Times New Roman" w:hAnsi="Times New Roman" w:cs="Times New Roman"/>
          <w:kern w:val="24"/>
          <w:sz w:val="24"/>
          <w:szCs w:val="24"/>
        </w:rPr>
        <w:t xml:space="preserve">data </w:t>
      </w:r>
      <w:r w:rsidR="00E11B34">
        <w:rPr>
          <w:rFonts w:ascii="Times New Roman" w:hAnsi="Times New Roman" w:cs="Times New Roman"/>
          <w:kern w:val="24"/>
          <w:sz w:val="24"/>
          <w:szCs w:val="24"/>
        </w:rPr>
        <w:t xml:space="preserve">took place within the </w:t>
      </w:r>
      <w:r>
        <w:rPr>
          <w:rFonts w:ascii="Times New Roman" w:hAnsi="Times New Roman" w:cs="Times New Roman"/>
          <w:kern w:val="24"/>
          <w:sz w:val="24"/>
          <w:szCs w:val="24"/>
        </w:rPr>
        <w:t xml:space="preserve">boundaries </w:t>
      </w:r>
      <w:r w:rsidR="00E11B34">
        <w:rPr>
          <w:rFonts w:ascii="Times New Roman" w:hAnsi="Times New Roman" w:cs="Times New Roman"/>
          <w:kern w:val="24"/>
          <w:sz w:val="24"/>
          <w:szCs w:val="24"/>
        </w:rPr>
        <w:t xml:space="preserve">of a </w:t>
      </w:r>
      <w:r w:rsidR="00E11B34" w:rsidRPr="00E11B34">
        <w:rPr>
          <w:rFonts w:ascii="Times New Roman" w:hAnsi="Times New Roman" w:cs="Times New Roman"/>
          <w:kern w:val="24"/>
          <w:sz w:val="24"/>
          <w:szCs w:val="24"/>
        </w:rPr>
        <w:t>single nation.</w:t>
      </w:r>
      <w:r w:rsidR="00E11B34" w:rsidRPr="00E11B34">
        <w:rPr>
          <w:rStyle w:val="FootnoteReference"/>
          <w:rFonts w:ascii="Times New Roman" w:hAnsi="Times New Roman" w:cs="Times New Roman"/>
          <w:kern w:val="24"/>
          <w:sz w:val="24"/>
          <w:szCs w:val="24"/>
        </w:rPr>
        <w:t xml:space="preserve"> </w:t>
      </w:r>
      <w:r w:rsidR="00E11B34">
        <w:rPr>
          <w:rStyle w:val="FootnoteReference"/>
          <w:rFonts w:ascii="Times New Roman" w:hAnsi="Times New Roman" w:cs="Times New Roman"/>
          <w:kern w:val="24"/>
          <w:sz w:val="24"/>
          <w:szCs w:val="24"/>
        </w:rPr>
        <w:footnoteReference w:id="17"/>
      </w:r>
      <w:r w:rsidR="00E11B34">
        <w:rPr>
          <w:rFonts w:ascii="Times New Roman" w:hAnsi="Times New Roman" w:cs="Times New Roman"/>
          <w:kern w:val="24"/>
          <w:sz w:val="24"/>
          <w:szCs w:val="24"/>
        </w:rPr>
        <w:t xml:space="preserve">  The transfer</w:t>
      </w:r>
      <w:r w:rsidR="00E11B34" w:rsidRPr="00E11B34">
        <w:rPr>
          <w:rFonts w:ascii="Times New Roman" w:hAnsi="Times New Roman" w:cs="Times New Roman"/>
          <w:kern w:val="24"/>
          <w:sz w:val="24"/>
          <w:szCs w:val="24"/>
        </w:rPr>
        <w:t xml:space="preserve"> of data across </w:t>
      </w:r>
      <w:r w:rsidR="00E11B34">
        <w:rPr>
          <w:rFonts w:ascii="Times New Roman" w:hAnsi="Times New Roman" w:cs="Times New Roman"/>
          <w:kern w:val="24"/>
          <w:sz w:val="24"/>
          <w:szCs w:val="24"/>
        </w:rPr>
        <w:t xml:space="preserve">national </w:t>
      </w:r>
      <w:r w:rsidR="00E11B34" w:rsidRPr="00E11B34">
        <w:rPr>
          <w:rFonts w:ascii="Times New Roman" w:hAnsi="Times New Roman" w:cs="Times New Roman"/>
          <w:kern w:val="24"/>
          <w:sz w:val="24"/>
          <w:szCs w:val="24"/>
        </w:rPr>
        <w:t xml:space="preserve">borders </w:t>
      </w:r>
      <w:r w:rsidR="00E11B34">
        <w:rPr>
          <w:rFonts w:ascii="Times New Roman" w:hAnsi="Times New Roman" w:cs="Times New Roman"/>
          <w:kern w:val="24"/>
          <w:sz w:val="24"/>
          <w:szCs w:val="24"/>
        </w:rPr>
        <w:t xml:space="preserve">was </w:t>
      </w:r>
      <w:r w:rsidR="00E11B34" w:rsidRPr="00E11B34">
        <w:rPr>
          <w:rFonts w:ascii="Times New Roman" w:hAnsi="Times New Roman" w:cs="Times New Roman"/>
          <w:kern w:val="24"/>
          <w:sz w:val="24"/>
          <w:szCs w:val="24"/>
        </w:rPr>
        <w:t>“an occasional event, an exception and not the rule.”</w:t>
      </w:r>
      <w:r w:rsidR="00E11B34">
        <w:rPr>
          <w:rStyle w:val="FootnoteReference"/>
          <w:rFonts w:ascii="Times New Roman" w:hAnsi="Times New Roman" w:cs="Times New Roman"/>
          <w:kern w:val="24"/>
          <w:sz w:val="24"/>
          <w:szCs w:val="24"/>
        </w:rPr>
        <w:footnoteReference w:id="18"/>
      </w:r>
      <w:r w:rsidR="001D01DA">
        <w:rPr>
          <w:rFonts w:ascii="Times New Roman" w:hAnsi="Times New Roman" w:cs="Times New Roman"/>
          <w:kern w:val="24"/>
          <w:sz w:val="24"/>
          <w:szCs w:val="24"/>
        </w:rPr>
        <w:t xml:space="preserve"> </w:t>
      </w:r>
      <w:r>
        <w:rPr>
          <w:rFonts w:ascii="Times New Roman" w:hAnsi="Times New Roman" w:cs="Times New Roman"/>
          <w:kern w:val="24"/>
          <w:sz w:val="24"/>
          <w:szCs w:val="24"/>
        </w:rPr>
        <w:t>Today, cross-border data transfers are ubiquitous.</w:t>
      </w:r>
      <w:r w:rsidR="00D6674A">
        <w:rPr>
          <w:rStyle w:val="FootnoteReference"/>
          <w:rFonts w:ascii="Times New Roman" w:hAnsi="Times New Roman" w:cs="Times New Roman"/>
          <w:kern w:val="24"/>
          <w:sz w:val="24"/>
          <w:szCs w:val="24"/>
        </w:rPr>
        <w:footnoteReference w:id="19"/>
      </w:r>
      <w:r w:rsidR="001D01DA">
        <w:rPr>
          <w:rFonts w:ascii="Times New Roman" w:hAnsi="Times New Roman" w:cs="Times New Roman"/>
          <w:kern w:val="24"/>
          <w:sz w:val="24"/>
          <w:szCs w:val="24"/>
        </w:rPr>
        <w:t xml:space="preserve"> </w:t>
      </w:r>
      <w:r w:rsidR="008E0A9B">
        <w:rPr>
          <w:rFonts w:ascii="Times New Roman" w:hAnsi="Times New Roman" w:cs="Times New Roman"/>
          <w:kern w:val="24"/>
          <w:sz w:val="24"/>
          <w:szCs w:val="24"/>
        </w:rPr>
        <w:t>The low cost of international data transfer has allowed companies to locate operations, and develop relationships with other businesses</w:t>
      </w:r>
      <w:r w:rsidR="00D44404">
        <w:rPr>
          <w:rFonts w:ascii="Times New Roman" w:hAnsi="Times New Roman" w:cs="Times New Roman"/>
          <w:kern w:val="24"/>
          <w:sz w:val="24"/>
          <w:szCs w:val="24"/>
        </w:rPr>
        <w:t xml:space="preserve"> and customers</w:t>
      </w:r>
      <w:r w:rsidR="008E0A9B">
        <w:rPr>
          <w:rFonts w:ascii="Times New Roman" w:hAnsi="Times New Roman" w:cs="Times New Roman"/>
          <w:kern w:val="24"/>
          <w:sz w:val="24"/>
          <w:szCs w:val="24"/>
        </w:rPr>
        <w:t xml:space="preserve">, </w:t>
      </w:r>
      <w:r w:rsidR="004535DC">
        <w:rPr>
          <w:rFonts w:ascii="Times New Roman" w:hAnsi="Times New Roman" w:cs="Times New Roman"/>
          <w:kern w:val="24"/>
          <w:sz w:val="24"/>
          <w:szCs w:val="24"/>
        </w:rPr>
        <w:t xml:space="preserve">throughout </w:t>
      </w:r>
      <w:r w:rsidR="008E0A9B">
        <w:rPr>
          <w:rFonts w:ascii="Times New Roman" w:hAnsi="Times New Roman" w:cs="Times New Roman"/>
          <w:kern w:val="24"/>
          <w:sz w:val="24"/>
          <w:szCs w:val="24"/>
        </w:rPr>
        <w:t>the world.</w:t>
      </w:r>
      <w:r w:rsidR="00D6674A" w:rsidRPr="00D6674A">
        <w:rPr>
          <w:rStyle w:val="FootnoteReference"/>
          <w:rFonts w:ascii="Times New Roman" w:hAnsi="Times New Roman" w:cs="Times New Roman"/>
          <w:kern w:val="24"/>
          <w:sz w:val="24"/>
          <w:szCs w:val="24"/>
        </w:rPr>
        <w:t xml:space="preserve"> </w:t>
      </w:r>
      <w:r w:rsidR="00D6674A">
        <w:rPr>
          <w:rStyle w:val="FootnoteReference"/>
          <w:rFonts w:ascii="Times New Roman" w:hAnsi="Times New Roman" w:cs="Times New Roman"/>
          <w:kern w:val="24"/>
          <w:sz w:val="24"/>
          <w:szCs w:val="24"/>
        </w:rPr>
        <w:footnoteReference w:id="20"/>
      </w:r>
      <w:r w:rsidR="001D01DA">
        <w:rPr>
          <w:rFonts w:ascii="Times New Roman" w:hAnsi="Times New Roman" w:cs="Times New Roman"/>
          <w:kern w:val="24"/>
          <w:sz w:val="24"/>
          <w:szCs w:val="24"/>
        </w:rPr>
        <w:t xml:space="preserve"> </w:t>
      </w:r>
      <w:r w:rsidR="004535DC">
        <w:rPr>
          <w:rFonts w:ascii="Times New Roman" w:hAnsi="Times New Roman" w:cs="Times New Roman"/>
          <w:kern w:val="24"/>
          <w:sz w:val="24"/>
          <w:szCs w:val="24"/>
        </w:rPr>
        <w:t xml:space="preserve">They </w:t>
      </w:r>
      <w:r w:rsidR="008B40AD">
        <w:rPr>
          <w:rFonts w:ascii="Times New Roman" w:hAnsi="Times New Roman" w:cs="Times New Roman"/>
          <w:kern w:val="24"/>
          <w:sz w:val="24"/>
          <w:szCs w:val="24"/>
        </w:rPr>
        <w:t>then</w:t>
      </w:r>
      <w:r w:rsidR="00AF7FD8">
        <w:rPr>
          <w:rFonts w:ascii="Times New Roman" w:hAnsi="Times New Roman" w:cs="Times New Roman"/>
          <w:kern w:val="24"/>
          <w:sz w:val="24"/>
          <w:szCs w:val="24"/>
        </w:rPr>
        <w:t xml:space="preserve"> collect personal data from, and/or share </w:t>
      </w:r>
      <w:r w:rsidR="004535DC">
        <w:rPr>
          <w:rFonts w:ascii="Times New Roman" w:hAnsi="Times New Roman" w:cs="Times New Roman"/>
          <w:kern w:val="24"/>
          <w:sz w:val="24"/>
          <w:szCs w:val="24"/>
        </w:rPr>
        <w:t>data with</w:t>
      </w:r>
      <w:r w:rsidR="00AF7FD8">
        <w:rPr>
          <w:rFonts w:ascii="Times New Roman" w:hAnsi="Times New Roman" w:cs="Times New Roman"/>
          <w:kern w:val="24"/>
          <w:sz w:val="24"/>
          <w:szCs w:val="24"/>
        </w:rPr>
        <w:t>,</w:t>
      </w:r>
      <w:r w:rsidR="004535DC">
        <w:rPr>
          <w:rFonts w:ascii="Times New Roman" w:hAnsi="Times New Roman" w:cs="Times New Roman"/>
          <w:kern w:val="24"/>
          <w:sz w:val="24"/>
          <w:szCs w:val="24"/>
        </w:rPr>
        <w:t xml:space="preserve"> each of these individuals</w:t>
      </w:r>
      <w:r w:rsidR="00AF7FD8">
        <w:rPr>
          <w:rFonts w:ascii="Times New Roman" w:hAnsi="Times New Roman" w:cs="Times New Roman"/>
          <w:kern w:val="24"/>
          <w:sz w:val="24"/>
          <w:szCs w:val="24"/>
        </w:rPr>
        <w:t xml:space="preserve"> or entities</w:t>
      </w:r>
      <w:r w:rsidR="008E0A9B">
        <w:rPr>
          <w:rFonts w:ascii="Times New Roman" w:hAnsi="Times New Roman" w:cs="Times New Roman"/>
          <w:kern w:val="24"/>
          <w:sz w:val="24"/>
          <w:szCs w:val="24"/>
        </w:rPr>
        <w:t>.</w:t>
      </w:r>
      <w:r w:rsidR="008E0A9B">
        <w:rPr>
          <w:rStyle w:val="FootnoteReference"/>
          <w:rFonts w:ascii="Times New Roman" w:hAnsi="Times New Roman" w:cs="Times New Roman"/>
          <w:kern w:val="24"/>
          <w:sz w:val="24"/>
          <w:szCs w:val="24"/>
        </w:rPr>
        <w:footnoteReference w:id="21"/>
      </w:r>
      <w:r w:rsidR="001D01DA">
        <w:rPr>
          <w:rFonts w:ascii="Times New Roman" w:hAnsi="Times New Roman" w:cs="Times New Roman"/>
          <w:kern w:val="24"/>
          <w:sz w:val="24"/>
          <w:szCs w:val="24"/>
        </w:rPr>
        <w:t xml:space="preserve"> </w:t>
      </w:r>
      <w:r w:rsidR="00AF7FD8">
        <w:rPr>
          <w:rFonts w:ascii="Times New Roman" w:hAnsi="Times New Roman" w:cs="Times New Roman"/>
          <w:kern w:val="24"/>
          <w:sz w:val="24"/>
          <w:szCs w:val="24"/>
        </w:rPr>
        <w:t>I</w:t>
      </w:r>
      <w:r w:rsidR="008B40AD">
        <w:rPr>
          <w:rFonts w:ascii="Times New Roman" w:hAnsi="Times New Roman" w:cs="Times New Roman"/>
          <w:kern w:val="24"/>
          <w:sz w:val="24"/>
          <w:szCs w:val="24"/>
        </w:rPr>
        <w:t>nternational data transfers and economic globalization build on and reinforce one another.</w:t>
      </w:r>
      <w:r w:rsidR="001D01DA">
        <w:rPr>
          <w:rFonts w:ascii="Times New Roman" w:hAnsi="Times New Roman" w:cs="Times New Roman"/>
          <w:kern w:val="24"/>
          <w:sz w:val="24"/>
          <w:szCs w:val="24"/>
        </w:rPr>
        <w:t xml:space="preserve"> </w:t>
      </w:r>
      <w:r w:rsidR="008B40AD">
        <w:rPr>
          <w:rFonts w:ascii="Times New Roman" w:hAnsi="Times New Roman" w:cs="Times New Roman"/>
          <w:kern w:val="24"/>
          <w:sz w:val="24"/>
          <w:szCs w:val="24"/>
        </w:rPr>
        <w:t>Fast, cheap and reliable international data transfers support the growth of global business.</w:t>
      </w:r>
      <w:r w:rsidR="001D01DA">
        <w:rPr>
          <w:rFonts w:ascii="Times New Roman" w:hAnsi="Times New Roman" w:cs="Times New Roman"/>
          <w:kern w:val="24"/>
          <w:sz w:val="24"/>
          <w:szCs w:val="24"/>
        </w:rPr>
        <w:t xml:space="preserve"> </w:t>
      </w:r>
      <w:r w:rsidR="00D6674A">
        <w:rPr>
          <w:rFonts w:ascii="Times New Roman" w:hAnsi="Times New Roman" w:cs="Times New Roman"/>
          <w:kern w:val="24"/>
          <w:sz w:val="24"/>
          <w:szCs w:val="24"/>
        </w:rPr>
        <w:t xml:space="preserve">Increased economic globalization, </w:t>
      </w:r>
      <w:r w:rsidR="008B40AD">
        <w:rPr>
          <w:rFonts w:ascii="Times New Roman" w:hAnsi="Times New Roman" w:cs="Times New Roman"/>
          <w:kern w:val="24"/>
          <w:sz w:val="24"/>
          <w:szCs w:val="24"/>
        </w:rPr>
        <w:t xml:space="preserve">in turn, </w:t>
      </w:r>
      <w:r w:rsidR="00D6674A">
        <w:rPr>
          <w:rFonts w:ascii="Times New Roman" w:hAnsi="Times New Roman" w:cs="Times New Roman"/>
          <w:kern w:val="24"/>
          <w:sz w:val="24"/>
          <w:szCs w:val="24"/>
        </w:rPr>
        <w:t xml:space="preserve">widens </w:t>
      </w:r>
      <w:r w:rsidR="008B40AD">
        <w:rPr>
          <w:rFonts w:ascii="Times New Roman" w:hAnsi="Times New Roman" w:cs="Times New Roman"/>
          <w:kern w:val="24"/>
          <w:sz w:val="24"/>
          <w:szCs w:val="24"/>
        </w:rPr>
        <w:t>t</w:t>
      </w:r>
      <w:r w:rsidR="008B40AD" w:rsidRPr="008B40AD">
        <w:rPr>
          <w:rFonts w:ascii="Times New Roman" w:hAnsi="Times New Roman" w:cs="Times New Roman"/>
          <w:kern w:val="24"/>
          <w:sz w:val="24"/>
          <w:szCs w:val="24"/>
        </w:rPr>
        <w:t>he demand for</w:t>
      </w:r>
      <w:r w:rsidR="00D6674A">
        <w:rPr>
          <w:rFonts w:ascii="Times New Roman" w:hAnsi="Times New Roman" w:cs="Times New Roman"/>
          <w:kern w:val="24"/>
          <w:sz w:val="24"/>
          <w:szCs w:val="24"/>
        </w:rPr>
        <w:t>,</w:t>
      </w:r>
      <w:r w:rsidR="008B40AD" w:rsidRPr="008B40AD">
        <w:rPr>
          <w:rFonts w:ascii="Times New Roman" w:hAnsi="Times New Roman" w:cs="Times New Roman"/>
          <w:kern w:val="24"/>
          <w:sz w:val="24"/>
          <w:szCs w:val="24"/>
        </w:rPr>
        <w:t xml:space="preserve"> </w:t>
      </w:r>
      <w:r w:rsidR="008B40AD">
        <w:rPr>
          <w:rFonts w:ascii="Times New Roman" w:hAnsi="Times New Roman" w:cs="Times New Roman"/>
          <w:kern w:val="24"/>
          <w:sz w:val="24"/>
          <w:szCs w:val="24"/>
        </w:rPr>
        <w:t>and investment in</w:t>
      </w:r>
      <w:r w:rsidR="00D6674A">
        <w:rPr>
          <w:rFonts w:ascii="Times New Roman" w:hAnsi="Times New Roman" w:cs="Times New Roman"/>
          <w:kern w:val="24"/>
          <w:sz w:val="24"/>
          <w:szCs w:val="24"/>
        </w:rPr>
        <w:t>,</w:t>
      </w:r>
      <w:r w:rsidR="008B40AD">
        <w:rPr>
          <w:rFonts w:ascii="Times New Roman" w:hAnsi="Times New Roman" w:cs="Times New Roman"/>
          <w:kern w:val="24"/>
          <w:sz w:val="24"/>
          <w:szCs w:val="24"/>
        </w:rPr>
        <w:t xml:space="preserve"> rapid and inexpensive </w:t>
      </w:r>
      <w:r w:rsidR="008B40AD" w:rsidRPr="008B40AD">
        <w:rPr>
          <w:rFonts w:ascii="Times New Roman" w:hAnsi="Times New Roman" w:cs="Times New Roman"/>
          <w:kern w:val="24"/>
          <w:sz w:val="24"/>
          <w:szCs w:val="24"/>
        </w:rPr>
        <w:t>cross-border data transfers.</w:t>
      </w:r>
      <w:r w:rsidR="001D01DA">
        <w:rPr>
          <w:rFonts w:ascii="Times New Roman" w:hAnsi="Times New Roman" w:cs="Times New Roman"/>
          <w:kern w:val="24"/>
          <w:sz w:val="24"/>
          <w:szCs w:val="24"/>
        </w:rPr>
        <w:t xml:space="preserve"> </w:t>
      </w:r>
      <w:r w:rsidR="00D6674A">
        <w:rPr>
          <w:rFonts w:ascii="Times New Roman" w:hAnsi="Times New Roman" w:cs="Times New Roman"/>
          <w:kern w:val="24"/>
          <w:sz w:val="24"/>
          <w:szCs w:val="24"/>
        </w:rPr>
        <w:t xml:space="preserve">The upshot is an </w:t>
      </w:r>
      <w:r w:rsidR="008B40AD">
        <w:rPr>
          <w:rFonts w:ascii="Times New Roman" w:hAnsi="Times New Roman" w:cs="Times New Roman"/>
          <w:kern w:val="24"/>
          <w:sz w:val="24"/>
          <w:szCs w:val="24"/>
        </w:rPr>
        <w:t>“</w:t>
      </w:r>
      <w:r w:rsidR="008B40AD" w:rsidRPr="008B40AD">
        <w:rPr>
          <w:rFonts w:ascii="Times New Roman" w:hAnsi="Times New Roman" w:cs="Times New Roman"/>
          <w:kern w:val="24"/>
          <w:sz w:val="24"/>
          <w:szCs w:val="24"/>
        </w:rPr>
        <w:t xml:space="preserve">exponentially increased </w:t>
      </w:r>
      <w:r w:rsidR="00D6674A">
        <w:rPr>
          <w:rFonts w:ascii="Times New Roman" w:hAnsi="Times New Roman" w:cs="Times New Roman"/>
          <w:kern w:val="24"/>
          <w:sz w:val="24"/>
          <w:szCs w:val="24"/>
        </w:rPr>
        <w:t xml:space="preserve">. . . </w:t>
      </w:r>
      <w:r w:rsidR="008B40AD" w:rsidRPr="008B40AD">
        <w:rPr>
          <w:rFonts w:ascii="Times New Roman" w:hAnsi="Times New Roman" w:cs="Times New Roman"/>
          <w:kern w:val="24"/>
          <w:sz w:val="24"/>
          <w:szCs w:val="24"/>
        </w:rPr>
        <w:t>flow of personal information across national borders.”</w:t>
      </w:r>
      <w:r w:rsidR="008B40AD">
        <w:rPr>
          <w:rStyle w:val="FootnoteReference"/>
          <w:rFonts w:ascii="Times New Roman" w:hAnsi="Times New Roman" w:cs="Times New Roman"/>
          <w:kern w:val="24"/>
          <w:sz w:val="24"/>
          <w:szCs w:val="24"/>
        </w:rPr>
        <w:footnoteReference w:id="22"/>
      </w:r>
      <w:r w:rsidR="00AF7FD8">
        <w:rPr>
          <w:rFonts w:ascii="Times New Roman" w:hAnsi="Times New Roman" w:cs="Times New Roman"/>
          <w:kern w:val="24"/>
          <w:sz w:val="24"/>
          <w:szCs w:val="24"/>
        </w:rPr>
        <w:t xml:space="preserve"> </w:t>
      </w:r>
    </w:p>
    <w:p w:rsidR="004427C2" w:rsidRPr="004427C2" w:rsidRDefault="001D01DA"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second </w:t>
      </w:r>
      <w:r w:rsidR="00730DCF">
        <w:rPr>
          <w:rFonts w:ascii="Times New Roman" w:hAnsi="Times New Roman" w:cs="Times New Roman"/>
          <w:kern w:val="24"/>
          <w:sz w:val="24"/>
          <w:szCs w:val="24"/>
        </w:rPr>
        <w:t xml:space="preserve">important </w:t>
      </w:r>
      <w:r w:rsidR="00AF7FD8">
        <w:rPr>
          <w:rFonts w:ascii="Times New Roman" w:hAnsi="Times New Roman" w:cs="Times New Roman"/>
          <w:kern w:val="24"/>
          <w:sz w:val="24"/>
          <w:szCs w:val="24"/>
        </w:rPr>
        <w:t xml:space="preserve">change has been the rise in </w:t>
      </w:r>
      <w:r w:rsidR="00D44404">
        <w:rPr>
          <w:rFonts w:ascii="Times New Roman" w:hAnsi="Times New Roman" w:cs="Times New Roman"/>
          <w:kern w:val="24"/>
          <w:sz w:val="24"/>
          <w:szCs w:val="24"/>
        </w:rPr>
        <w:t>data processing networks.</w:t>
      </w:r>
      <w:r>
        <w:rPr>
          <w:rFonts w:ascii="Times New Roman" w:hAnsi="Times New Roman" w:cs="Times New Roman"/>
          <w:kern w:val="24"/>
          <w:sz w:val="24"/>
          <w:szCs w:val="24"/>
        </w:rPr>
        <w:t xml:space="preserve"> </w:t>
      </w:r>
      <w:r w:rsidR="004E01B8">
        <w:rPr>
          <w:rFonts w:ascii="Times New Roman" w:hAnsi="Times New Roman" w:cs="Times New Roman"/>
          <w:kern w:val="24"/>
          <w:sz w:val="24"/>
          <w:szCs w:val="24"/>
        </w:rPr>
        <w:t>Previously, most companies employed localized, central databases.</w:t>
      </w:r>
      <w:r w:rsidR="00BE0445">
        <w:rPr>
          <w:rFonts w:ascii="Times New Roman" w:hAnsi="Times New Roman" w:cs="Times New Roman"/>
          <w:kern w:val="24"/>
          <w:sz w:val="24"/>
          <w:szCs w:val="24"/>
        </w:rPr>
        <w:t xml:space="preserve"> </w:t>
      </w:r>
      <w:r w:rsidR="004E01B8">
        <w:rPr>
          <w:rFonts w:ascii="Times New Roman" w:hAnsi="Times New Roman" w:cs="Times New Roman"/>
          <w:kern w:val="24"/>
          <w:sz w:val="24"/>
          <w:szCs w:val="24"/>
        </w:rPr>
        <w:t xml:space="preserve">Insofar as they transmitted data, </w:t>
      </w:r>
      <w:r w:rsidR="00AF7FD8">
        <w:rPr>
          <w:rFonts w:ascii="Times New Roman" w:hAnsi="Times New Roman" w:cs="Times New Roman"/>
          <w:kern w:val="24"/>
          <w:sz w:val="24"/>
          <w:szCs w:val="24"/>
        </w:rPr>
        <w:t xml:space="preserve">they sent it from </w:t>
      </w:r>
      <w:r w:rsidR="00BE0445">
        <w:rPr>
          <w:rFonts w:ascii="Times New Roman" w:hAnsi="Times New Roman" w:cs="Times New Roman"/>
          <w:kern w:val="24"/>
          <w:sz w:val="24"/>
          <w:szCs w:val="24"/>
        </w:rPr>
        <w:t>one centralized database</w:t>
      </w:r>
      <w:r w:rsidR="004E01B8">
        <w:rPr>
          <w:rFonts w:ascii="Times New Roman" w:hAnsi="Times New Roman" w:cs="Times New Roman"/>
          <w:kern w:val="24"/>
          <w:sz w:val="24"/>
          <w:szCs w:val="24"/>
        </w:rPr>
        <w:t xml:space="preserve"> to another.</w:t>
      </w:r>
      <w:r w:rsidR="00D44404">
        <w:rPr>
          <w:rStyle w:val="FootnoteReference"/>
          <w:rFonts w:ascii="Times New Roman" w:hAnsi="Times New Roman" w:cs="Times New Roman"/>
          <w:kern w:val="24"/>
          <w:sz w:val="24"/>
          <w:szCs w:val="24"/>
        </w:rPr>
        <w:footnoteReference w:id="23"/>
      </w:r>
      <w:r w:rsidR="00BE0445">
        <w:rPr>
          <w:rFonts w:ascii="Times New Roman" w:hAnsi="Times New Roman" w:cs="Times New Roman"/>
          <w:kern w:val="24"/>
          <w:sz w:val="24"/>
          <w:szCs w:val="24"/>
        </w:rPr>
        <w:t xml:space="preserve"> </w:t>
      </w:r>
      <w:r w:rsidR="00AF7FD8">
        <w:rPr>
          <w:rFonts w:ascii="Times New Roman" w:hAnsi="Times New Roman" w:cs="Times New Roman"/>
          <w:kern w:val="24"/>
          <w:sz w:val="24"/>
          <w:szCs w:val="24"/>
        </w:rPr>
        <w:t>These were point-to-point transactions between two discrete databases.</w:t>
      </w:r>
      <w:r w:rsidR="00BE0445">
        <w:rPr>
          <w:rFonts w:ascii="Times New Roman" w:hAnsi="Times New Roman" w:cs="Times New Roman"/>
          <w:kern w:val="24"/>
          <w:sz w:val="24"/>
          <w:szCs w:val="24"/>
        </w:rPr>
        <w:t xml:space="preserve"> </w:t>
      </w:r>
      <w:r w:rsidR="004E01B8">
        <w:rPr>
          <w:rFonts w:ascii="Times New Roman" w:hAnsi="Times New Roman" w:cs="Times New Roman"/>
          <w:kern w:val="24"/>
          <w:sz w:val="24"/>
          <w:szCs w:val="24"/>
        </w:rPr>
        <w:t xml:space="preserve">Today, </w:t>
      </w:r>
      <w:r w:rsidR="00730DCF">
        <w:rPr>
          <w:rFonts w:ascii="Times New Roman" w:hAnsi="Times New Roman" w:cs="Times New Roman"/>
          <w:kern w:val="24"/>
          <w:sz w:val="24"/>
          <w:szCs w:val="24"/>
        </w:rPr>
        <w:t xml:space="preserve">many </w:t>
      </w:r>
      <w:r w:rsidR="00AF7FD8">
        <w:rPr>
          <w:rFonts w:ascii="Times New Roman" w:hAnsi="Times New Roman" w:cs="Times New Roman"/>
          <w:kern w:val="24"/>
          <w:sz w:val="24"/>
          <w:szCs w:val="24"/>
        </w:rPr>
        <w:t xml:space="preserve">businesses participate in multi-point </w:t>
      </w:r>
      <w:r w:rsidR="004E01B8">
        <w:rPr>
          <w:rFonts w:ascii="Times New Roman" w:hAnsi="Times New Roman" w:cs="Times New Roman"/>
          <w:kern w:val="24"/>
          <w:sz w:val="24"/>
          <w:szCs w:val="24"/>
        </w:rPr>
        <w:t>data processing networks</w:t>
      </w:r>
      <w:r w:rsidR="00AF7FD8">
        <w:rPr>
          <w:rFonts w:ascii="Times New Roman" w:hAnsi="Times New Roman" w:cs="Times New Roman"/>
          <w:kern w:val="24"/>
          <w:sz w:val="24"/>
          <w:szCs w:val="24"/>
        </w:rPr>
        <w:t>.</w:t>
      </w:r>
      <w:r w:rsidR="00B81805">
        <w:rPr>
          <w:rStyle w:val="FootnoteReference"/>
          <w:rFonts w:ascii="Times New Roman" w:hAnsi="Times New Roman" w:cs="Times New Roman"/>
          <w:kern w:val="24"/>
          <w:sz w:val="24"/>
          <w:szCs w:val="24"/>
        </w:rPr>
        <w:footnoteReference w:id="24"/>
      </w:r>
      <w:r w:rsidR="00BE0445">
        <w:rPr>
          <w:rFonts w:ascii="Times New Roman" w:hAnsi="Times New Roman" w:cs="Times New Roman"/>
          <w:kern w:val="24"/>
          <w:sz w:val="24"/>
          <w:szCs w:val="24"/>
        </w:rPr>
        <w:t xml:space="preserve"> </w:t>
      </w:r>
      <w:r w:rsidR="00730DCF">
        <w:rPr>
          <w:rFonts w:ascii="Times New Roman" w:hAnsi="Times New Roman" w:cs="Times New Roman"/>
          <w:kern w:val="24"/>
          <w:sz w:val="24"/>
          <w:szCs w:val="24"/>
        </w:rPr>
        <w:t xml:space="preserve">An example would be a multi-national company that utilizes a third-party vendor for its </w:t>
      </w:r>
      <w:r w:rsidR="00730DCF">
        <w:rPr>
          <w:rFonts w:ascii="Times New Roman" w:hAnsi="Times New Roman" w:cs="Times New Roman"/>
          <w:kern w:val="24"/>
          <w:sz w:val="24"/>
          <w:szCs w:val="24"/>
        </w:rPr>
        <w:lastRenderedPageBreak/>
        <w:t>personnel recruitment.</w:t>
      </w:r>
      <w:r w:rsidR="00730DCF">
        <w:rPr>
          <w:rStyle w:val="FootnoteReference"/>
          <w:rFonts w:ascii="Times New Roman" w:hAnsi="Times New Roman" w:cs="Times New Roman"/>
          <w:kern w:val="24"/>
          <w:sz w:val="24"/>
          <w:szCs w:val="24"/>
        </w:rPr>
        <w:footnoteReference w:id="25"/>
      </w:r>
      <w:r w:rsidR="00BE0445">
        <w:rPr>
          <w:rFonts w:ascii="Times New Roman" w:hAnsi="Times New Roman" w:cs="Times New Roman"/>
          <w:kern w:val="24"/>
          <w:sz w:val="24"/>
          <w:szCs w:val="24"/>
        </w:rPr>
        <w:t xml:space="preserve"> </w:t>
      </w:r>
      <w:r w:rsidR="00730DCF">
        <w:rPr>
          <w:rFonts w:ascii="Times New Roman" w:hAnsi="Times New Roman" w:cs="Times New Roman"/>
          <w:kern w:val="24"/>
          <w:sz w:val="24"/>
          <w:szCs w:val="24"/>
        </w:rPr>
        <w:t xml:space="preserve">Company offices located around the world send job postings to the vendor.  Recruitment agencies, individual applicants, and current employees (making recommendations) located </w:t>
      </w:r>
      <w:r w:rsidR="004427C2">
        <w:rPr>
          <w:rFonts w:ascii="Times New Roman" w:hAnsi="Times New Roman" w:cs="Times New Roman"/>
          <w:kern w:val="24"/>
          <w:sz w:val="24"/>
          <w:szCs w:val="24"/>
        </w:rPr>
        <w:t xml:space="preserve">in many different countries </w:t>
      </w:r>
      <w:r w:rsidR="00730DCF">
        <w:rPr>
          <w:rFonts w:ascii="Times New Roman" w:hAnsi="Times New Roman" w:cs="Times New Roman"/>
          <w:kern w:val="24"/>
          <w:sz w:val="24"/>
          <w:szCs w:val="24"/>
        </w:rPr>
        <w:t>send applications and other personal information to the vendor, which shares it with the HR departments at the multi-national firm and at its various locations.</w:t>
      </w:r>
      <w:r w:rsidR="00FD5D96">
        <w:rPr>
          <w:rStyle w:val="FootnoteReference"/>
          <w:rFonts w:ascii="Times New Roman" w:hAnsi="Times New Roman" w:cs="Times New Roman"/>
          <w:kern w:val="24"/>
          <w:sz w:val="24"/>
          <w:szCs w:val="24"/>
        </w:rPr>
        <w:footnoteReference w:id="26"/>
      </w:r>
      <w:r w:rsidR="00BE0445">
        <w:rPr>
          <w:rFonts w:ascii="Times New Roman" w:hAnsi="Times New Roman" w:cs="Times New Roman"/>
          <w:kern w:val="24"/>
          <w:sz w:val="24"/>
          <w:szCs w:val="24"/>
        </w:rPr>
        <w:t xml:space="preserve"> </w:t>
      </w:r>
      <w:r w:rsidR="00EB23C3">
        <w:rPr>
          <w:rFonts w:ascii="Times New Roman" w:hAnsi="Times New Roman" w:cs="Times New Roman"/>
          <w:kern w:val="24"/>
          <w:sz w:val="24"/>
          <w:szCs w:val="24"/>
        </w:rPr>
        <w:t>The company may request additional information, leading to another round of multi-point data transfers.</w:t>
      </w:r>
      <w:r w:rsidR="00BE0445">
        <w:rPr>
          <w:rFonts w:ascii="Times New Roman" w:hAnsi="Times New Roman" w:cs="Times New Roman"/>
          <w:kern w:val="24"/>
          <w:sz w:val="24"/>
          <w:szCs w:val="24"/>
        </w:rPr>
        <w:t xml:space="preserve"> </w:t>
      </w:r>
      <w:r w:rsidR="00730DCF">
        <w:rPr>
          <w:rFonts w:ascii="Times New Roman" w:hAnsi="Times New Roman" w:cs="Times New Roman"/>
          <w:kern w:val="24"/>
          <w:sz w:val="24"/>
          <w:szCs w:val="24"/>
        </w:rPr>
        <w:t>This network of data flows involve</w:t>
      </w:r>
      <w:r w:rsidR="00BE0445">
        <w:rPr>
          <w:rFonts w:ascii="Times New Roman" w:hAnsi="Times New Roman" w:cs="Times New Roman"/>
          <w:kern w:val="24"/>
          <w:sz w:val="24"/>
          <w:szCs w:val="24"/>
        </w:rPr>
        <w:t>s</w:t>
      </w:r>
      <w:r w:rsidR="00730DCF">
        <w:rPr>
          <w:rFonts w:ascii="Times New Roman" w:hAnsi="Times New Roman" w:cs="Times New Roman"/>
          <w:kern w:val="24"/>
          <w:sz w:val="24"/>
          <w:szCs w:val="24"/>
        </w:rPr>
        <w:t xml:space="preserve"> many different entities, located in different countries, in a complex stream of data transfers.</w:t>
      </w:r>
      <w:r w:rsidR="00BE0445">
        <w:rPr>
          <w:rFonts w:ascii="Times New Roman" w:hAnsi="Times New Roman" w:cs="Times New Roman"/>
          <w:kern w:val="24"/>
          <w:sz w:val="24"/>
          <w:szCs w:val="24"/>
        </w:rPr>
        <w:t xml:space="preserve"> </w:t>
      </w:r>
      <w:r w:rsidR="004427C2">
        <w:rPr>
          <w:rFonts w:ascii="Times New Roman" w:hAnsi="Times New Roman" w:cs="Times New Roman"/>
          <w:kern w:val="24"/>
          <w:sz w:val="24"/>
          <w:szCs w:val="24"/>
        </w:rPr>
        <w:t xml:space="preserve">Such </w:t>
      </w:r>
      <w:r w:rsidR="00B81805">
        <w:rPr>
          <w:rFonts w:ascii="Times New Roman" w:hAnsi="Times New Roman" w:cs="Times New Roman"/>
          <w:kern w:val="24"/>
          <w:sz w:val="24"/>
          <w:szCs w:val="24"/>
        </w:rPr>
        <w:t>networks</w:t>
      </w:r>
      <w:r w:rsidR="004427C2">
        <w:rPr>
          <w:rFonts w:ascii="Times New Roman" w:hAnsi="Times New Roman" w:cs="Times New Roman"/>
          <w:kern w:val="24"/>
          <w:sz w:val="24"/>
          <w:szCs w:val="24"/>
        </w:rPr>
        <w:t>, which are increasingly common today,</w:t>
      </w:r>
      <w:r w:rsidR="00B81805">
        <w:rPr>
          <w:rFonts w:ascii="Times New Roman" w:hAnsi="Times New Roman" w:cs="Times New Roman"/>
          <w:kern w:val="24"/>
          <w:sz w:val="24"/>
          <w:szCs w:val="24"/>
        </w:rPr>
        <w:t xml:space="preserve"> result in a nearly constant flow of personal information across national borders</w:t>
      </w:r>
      <w:r w:rsidR="00B81805">
        <w:rPr>
          <w:rStyle w:val="FootnoteReference"/>
          <w:rFonts w:ascii="Times New Roman" w:hAnsi="Times New Roman" w:cs="Times New Roman"/>
          <w:kern w:val="24"/>
          <w:sz w:val="24"/>
          <w:szCs w:val="24"/>
        </w:rPr>
        <w:footnoteReference w:id="27"/>
      </w:r>
      <w:r w:rsidR="00B81805">
        <w:rPr>
          <w:rFonts w:ascii="Times New Roman" w:hAnsi="Times New Roman" w:cs="Times New Roman"/>
          <w:kern w:val="24"/>
          <w:sz w:val="24"/>
          <w:szCs w:val="24"/>
        </w:rPr>
        <w:t xml:space="preserve"> and have resulted in “a massive growth in the complexity and volume of these transfers.”</w:t>
      </w:r>
      <w:r w:rsidR="00B81805" w:rsidRPr="00B81805">
        <w:rPr>
          <w:rStyle w:val="FootnoteReference"/>
          <w:rFonts w:ascii="Times New Roman" w:hAnsi="Times New Roman" w:cs="Times New Roman"/>
          <w:kern w:val="24"/>
          <w:sz w:val="24"/>
          <w:szCs w:val="24"/>
        </w:rPr>
        <w:t xml:space="preserve"> </w:t>
      </w:r>
      <w:r w:rsidR="00B81805">
        <w:rPr>
          <w:rStyle w:val="FootnoteReference"/>
          <w:rFonts w:ascii="Times New Roman" w:hAnsi="Times New Roman" w:cs="Times New Roman"/>
          <w:kern w:val="24"/>
          <w:sz w:val="24"/>
          <w:szCs w:val="24"/>
        </w:rPr>
        <w:footnoteReference w:id="28"/>
      </w:r>
      <w:r w:rsidR="00BE0445">
        <w:rPr>
          <w:rStyle w:val="FootnoteReference"/>
          <w:rFonts w:ascii="Times New Roman" w:hAnsi="Times New Roman" w:cs="Times New Roman"/>
          <w:kern w:val="24"/>
          <w:sz w:val="24"/>
          <w:szCs w:val="24"/>
          <w:vertAlign w:val="baseline"/>
        </w:rPr>
        <w:t xml:space="preserve"> </w:t>
      </w:r>
      <w:r w:rsidR="00B00CC2">
        <w:rPr>
          <w:rFonts w:ascii="Times New Roman" w:hAnsi="Times New Roman" w:cs="Times New Roman"/>
          <w:kern w:val="24"/>
          <w:sz w:val="24"/>
          <w:szCs w:val="24"/>
        </w:rPr>
        <w:t>N</w:t>
      </w:r>
      <w:r w:rsidR="004427C2">
        <w:rPr>
          <w:rStyle w:val="FootnoteReference"/>
          <w:rFonts w:ascii="Times New Roman" w:hAnsi="Times New Roman" w:cs="Times New Roman"/>
          <w:kern w:val="24"/>
          <w:sz w:val="24"/>
          <w:szCs w:val="24"/>
          <w:vertAlign w:val="baseline"/>
        </w:rPr>
        <w:t>othing like this was possible</w:t>
      </w:r>
      <w:r w:rsidR="00B00CC2">
        <w:rPr>
          <w:rStyle w:val="FootnoteReference"/>
          <w:rFonts w:ascii="Times New Roman" w:hAnsi="Times New Roman" w:cs="Times New Roman"/>
          <w:kern w:val="24"/>
          <w:sz w:val="24"/>
          <w:szCs w:val="24"/>
          <w:vertAlign w:val="baseline"/>
        </w:rPr>
        <w:t xml:space="preserve"> </w:t>
      </w:r>
      <w:r w:rsidR="00BE0445">
        <w:rPr>
          <w:rStyle w:val="FootnoteReference"/>
          <w:rFonts w:ascii="Times New Roman" w:hAnsi="Times New Roman" w:cs="Times New Roman"/>
          <w:kern w:val="24"/>
          <w:sz w:val="24"/>
          <w:szCs w:val="24"/>
          <w:vertAlign w:val="baseline"/>
        </w:rPr>
        <w:t xml:space="preserve">prior to the </w:t>
      </w:r>
      <w:r w:rsidR="00B00CC2">
        <w:rPr>
          <w:rStyle w:val="FootnoteReference"/>
          <w:rFonts w:ascii="Times New Roman" w:hAnsi="Times New Roman" w:cs="Times New Roman"/>
          <w:kern w:val="24"/>
          <w:sz w:val="24"/>
          <w:szCs w:val="24"/>
          <w:vertAlign w:val="baseline"/>
        </w:rPr>
        <w:t>Internet</w:t>
      </w:r>
      <w:r w:rsidR="004427C2">
        <w:rPr>
          <w:rStyle w:val="FootnoteReference"/>
          <w:rFonts w:ascii="Times New Roman" w:hAnsi="Times New Roman" w:cs="Times New Roman"/>
          <w:kern w:val="24"/>
          <w:sz w:val="24"/>
          <w:szCs w:val="24"/>
          <w:vertAlign w:val="baseline"/>
        </w:rPr>
        <w:t>.</w:t>
      </w:r>
    </w:p>
    <w:p w:rsidR="00CC6E75" w:rsidRDefault="00722B6B"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third change is the shift from </w:t>
      </w:r>
      <w:r w:rsidR="00A0134E">
        <w:rPr>
          <w:rFonts w:ascii="Times New Roman" w:hAnsi="Times New Roman" w:cs="Times New Roman"/>
          <w:kern w:val="24"/>
          <w:sz w:val="24"/>
          <w:szCs w:val="24"/>
        </w:rPr>
        <w:t xml:space="preserve">discrete, one-time </w:t>
      </w:r>
      <w:r>
        <w:rPr>
          <w:rFonts w:ascii="Times New Roman" w:hAnsi="Times New Roman" w:cs="Times New Roman"/>
          <w:kern w:val="24"/>
          <w:sz w:val="24"/>
          <w:szCs w:val="24"/>
        </w:rPr>
        <w:t>data transmissions</w:t>
      </w:r>
      <w:r w:rsidR="00CD097C">
        <w:rPr>
          <w:rFonts w:ascii="Times New Roman" w:hAnsi="Times New Roman" w:cs="Times New Roman"/>
          <w:kern w:val="24"/>
          <w:sz w:val="24"/>
          <w:szCs w:val="24"/>
        </w:rPr>
        <w:t>, to far more dynamic</w:t>
      </w:r>
      <w:r w:rsidR="004427C2">
        <w:rPr>
          <w:rFonts w:ascii="Times New Roman" w:hAnsi="Times New Roman" w:cs="Times New Roman"/>
          <w:kern w:val="24"/>
          <w:sz w:val="24"/>
          <w:szCs w:val="24"/>
        </w:rPr>
        <w:t xml:space="preserve">, ongoing </w:t>
      </w:r>
      <w:r w:rsidR="00CD097C">
        <w:rPr>
          <w:rFonts w:ascii="Times New Roman" w:hAnsi="Times New Roman" w:cs="Times New Roman"/>
          <w:kern w:val="24"/>
          <w:sz w:val="24"/>
          <w:szCs w:val="24"/>
        </w:rPr>
        <w:t>transfers of personal information</w:t>
      </w:r>
      <w:r>
        <w:rPr>
          <w:rFonts w:ascii="Times New Roman" w:hAnsi="Times New Roman" w:cs="Times New Roman"/>
          <w:kern w:val="24"/>
          <w:sz w:val="24"/>
          <w:szCs w:val="24"/>
        </w:rPr>
        <w:t>.</w:t>
      </w:r>
      <w:r w:rsidR="00CC2CF1">
        <w:rPr>
          <w:rFonts w:ascii="Times New Roman" w:hAnsi="Times New Roman" w:cs="Times New Roman"/>
          <w:kern w:val="24"/>
          <w:sz w:val="24"/>
          <w:szCs w:val="24"/>
        </w:rPr>
        <w:t xml:space="preserve"> </w:t>
      </w:r>
      <w:r w:rsidR="004427C2">
        <w:rPr>
          <w:rFonts w:ascii="Times New Roman" w:hAnsi="Times New Roman" w:cs="Times New Roman"/>
          <w:kern w:val="24"/>
          <w:sz w:val="24"/>
          <w:szCs w:val="24"/>
        </w:rPr>
        <w:t>In an earlier era</w:t>
      </w:r>
      <w:r w:rsidR="00CD097C">
        <w:rPr>
          <w:rFonts w:ascii="Times New Roman" w:hAnsi="Times New Roman" w:cs="Times New Roman"/>
          <w:kern w:val="24"/>
          <w:sz w:val="24"/>
          <w:szCs w:val="24"/>
        </w:rPr>
        <w:t xml:space="preserve">, a company would prepare </w:t>
      </w:r>
      <w:r w:rsidR="00FF01B7">
        <w:rPr>
          <w:rFonts w:ascii="Times New Roman" w:hAnsi="Times New Roman" w:cs="Times New Roman"/>
          <w:kern w:val="24"/>
          <w:sz w:val="24"/>
          <w:szCs w:val="24"/>
        </w:rPr>
        <w:t xml:space="preserve">for </w:t>
      </w:r>
      <w:r w:rsidR="00CD097C">
        <w:rPr>
          <w:rFonts w:ascii="Times New Roman" w:hAnsi="Times New Roman" w:cs="Times New Roman"/>
          <w:kern w:val="24"/>
          <w:sz w:val="24"/>
          <w:szCs w:val="24"/>
        </w:rPr>
        <w:t xml:space="preserve">an international transfer of </w:t>
      </w:r>
      <w:r w:rsidR="00FD5D96">
        <w:rPr>
          <w:rFonts w:ascii="Times New Roman" w:hAnsi="Times New Roman" w:cs="Times New Roman"/>
          <w:kern w:val="24"/>
          <w:sz w:val="24"/>
          <w:szCs w:val="24"/>
        </w:rPr>
        <w:t xml:space="preserve">personal </w:t>
      </w:r>
      <w:r w:rsidR="00CD097C">
        <w:rPr>
          <w:rFonts w:ascii="Times New Roman" w:hAnsi="Times New Roman" w:cs="Times New Roman"/>
          <w:kern w:val="24"/>
          <w:sz w:val="24"/>
          <w:szCs w:val="24"/>
        </w:rPr>
        <w:t>data and then implement it at a single, pre-defined point in time.</w:t>
      </w:r>
      <w:r w:rsidR="00CD097C" w:rsidRPr="00CD097C">
        <w:rPr>
          <w:rStyle w:val="FootnoteReference"/>
          <w:rFonts w:ascii="Times New Roman" w:hAnsi="Times New Roman" w:cs="Times New Roman"/>
          <w:kern w:val="24"/>
          <w:sz w:val="24"/>
          <w:szCs w:val="24"/>
        </w:rPr>
        <w:t xml:space="preserve"> </w:t>
      </w:r>
      <w:r w:rsidR="00CD097C">
        <w:rPr>
          <w:rStyle w:val="FootnoteReference"/>
          <w:rFonts w:ascii="Times New Roman" w:hAnsi="Times New Roman" w:cs="Times New Roman"/>
          <w:kern w:val="24"/>
          <w:sz w:val="24"/>
          <w:szCs w:val="24"/>
        </w:rPr>
        <w:footnoteReference w:id="29"/>
      </w:r>
      <w:r w:rsidR="00CC6E75">
        <w:rPr>
          <w:rFonts w:ascii="Times New Roman" w:hAnsi="Times New Roman" w:cs="Times New Roman"/>
          <w:kern w:val="24"/>
          <w:sz w:val="24"/>
          <w:szCs w:val="24"/>
        </w:rPr>
        <w:t xml:space="preserve"> </w:t>
      </w:r>
      <w:r w:rsidR="00CD097C">
        <w:rPr>
          <w:rFonts w:ascii="Times New Roman" w:hAnsi="Times New Roman" w:cs="Times New Roman"/>
          <w:kern w:val="24"/>
          <w:sz w:val="24"/>
          <w:szCs w:val="24"/>
        </w:rPr>
        <w:t>These were “static”</w:t>
      </w:r>
      <w:r w:rsidR="00CD097C" w:rsidRPr="00CD097C">
        <w:rPr>
          <w:rStyle w:val="FootnoteReference"/>
          <w:rFonts w:ascii="Times New Roman" w:hAnsi="Times New Roman" w:cs="Times New Roman"/>
          <w:kern w:val="24"/>
          <w:sz w:val="24"/>
          <w:szCs w:val="24"/>
        </w:rPr>
        <w:t xml:space="preserve"> </w:t>
      </w:r>
      <w:r w:rsidR="00CD097C">
        <w:rPr>
          <w:rStyle w:val="FootnoteReference"/>
          <w:rFonts w:ascii="Times New Roman" w:hAnsi="Times New Roman" w:cs="Times New Roman"/>
          <w:kern w:val="24"/>
          <w:sz w:val="24"/>
          <w:szCs w:val="24"/>
        </w:rPr>
        <w:footnoteReference w:id="30"/>
      </w:r>
      <w:r w:rsidR="00CD097C">
        <w:rPr>
          <w:rFonts w:ascii="Times New Roman" w:hAnsi="Times New Roman" w:cs="Times New Roman"/>
          <w:kern w:val="24"/>
          <w:sz w:val="24"/>
          <w:szCs w:val="24"/>
        </w:rPr>
        <w:t xml:space="preserve"> events in the sense that they </w:t>
      </w:r>
      <w:r w:rsidR="00FF01B7">
        <w:rPr>
          <w:rFonts w:ascii="Times New Roman" w:hAnsi="Times New Roman" w:cs="Times New Roman"/>
          <w:kern w:val="24"/>
          <w:sz w:val="24"/>
          <w:szCs w:val="24"/>
        </w:rPr>
        <w:t xml:space="preserve">took place, and then they ended. </w:t>
      </w:r>
      <w:r w:rsidR="00CC6E75">
        <w:rPr>
          <w:rFonts w:ascii="Times New Roman" w:hAnsi="Times New Roman" w:cs="Times New Roman"/>
          <w:kern w:val="24"/>
          <w:sz w:val="24"/>
          <w:szCs w:val="24"/>
        </w:rPr>
        <w:t xml:space="preserve"> </w:t>
      </w:r>
      <w:r w:rsidR="00CD097C">
        <w:rPr>
          <w:rFonts w:ascii="Times New Roman" w:hAnsi="Times New Roman" w:cs="Times New Roman"/>
          <w:kern w:val="24"/>
          <w:sz w:val="24"/>
          <w:szCs w:val="24"/>
        </w:rPr>
        <w:t>Currently, cross-border data transfers take place on demand, continuously, and in real time.</w:t>
      </w:r>
      <w:r w:rsidR="00CD097C" w:rsidRPr="00CD097C">
        <w:rPr>
          <w:rStyle w:val="FootnoteReference"/>
          <w:rFonts w:ascii="Times New Roman" w:hAnsi="Times New Roman" w:cs="Times New Roman"/>
          <w:kern w:val="24"/>
          <w:sz w:val="24"/>
          <w:szCs w:val="24"/>
        </w:rPr>
        <w:t xml:space="preserve"> </w:t>
      </w:r>
      <w:r w:rsidR="00CD097C">
        <w:rPr>
          <w:rStyle w:val="FootnoteReference"/>
          <w:rFonts w:ascii="Times New Roman" w:hAnsi="Times New Roman" w:cs="Times New Roman"/>
          <w:kern w:val="24"/>
          <w:sz w:val="24"/>
          <w:szCs w:val="24"/>
        </w:rPr>
        <w:footnoteReference w:id="31"/>
      </w:r>
      <w:r w:rsidR="00CC6E75">
        <w:rPr>
          <w:rFonts w:ascii="Times New Roman" w:hAnsi="Times New Roman" w:cs="Times New Roman"/>
          <w:kern w:val="24"/>
          <w:sz w:val="24"/>
          <w:szCs w:val="24"/>
        </w:rPr>
        <w:t xml:space="preserve"> </w:t>
      </w:r>
      <w:r w:rsidR="00CD097C">
        <w:rPr>
          <w:rFonts w:ascii="Times New Roman" w:hAnsi="Times New Roman" w:cs="Times New Roman"/>
          <w:kern w:val="24"/>
          <w:sz w:val="24"/>
          <w:szCs w:val="24"/>
        </w:rPr>
        <w:t>They are “dynamic”</w:t>
      </w:r>
      <w:r w:rsidR="00F10DC8" w:rsidRPr="00F10DC8">
        <w:rPr>
          <w:rStyle w:val="FootnoteReference"/>
          <w:rFonts w:ascii="Times New Roman" w:hAnsi="Times New Roman" w:cs="Times New Roman"/>
          <w:kern w:val="24"/>
          <w:sz w:val="24"/>
          <w:szCs w:val="24"/>
        </w:rPr>
        <w:t xml:space="preserve"> </w:t>
      </w:r>
      <w:r w:rsidR="00F10DC8">
        <w:rPr>
          <w:rStyle w:val="FootnoteReference"/>
          <w:rFonts w:ascii="Times New Roman" w:hAnsi="Times New Roman" w:cs="Times New Roman"/>
          <w:kern w:val="24"/>
          <w:sz w:val="24"/>
          <w:szCs w:val="24"/>
        </w:rPr>
        <w:footnoteReference w:id="32"/>
      </w:r>
      <w:r w:rsidR="00F10DC8" w:rsidRPr="00F10DC8">
        <w:rPr>
          <w:rStyle w:val="FootnoteReference"/>
          <w:rFonts w:ascii="Times New Roman" w:hAnsi="Times New Roman" w:cs="Times New Roman"/>
          <w:kern w:val="24"/>
          <w:sz w:val="24"/>
          <w:szCs w:val="24"/>
        </w:rPr>
        <w:t xml:space="preserve"> </w:t>
      </w:r>
      <w:r w:rsidR="00CD097C" w:rsidRPr="00CD097C">
        <w:rPr>
          <w:rStyle w:val="FootnoteReference"/>
          <w:rFonts w:ascii="Times New Roman" w:hAnsi="Times New Roman" w:cs="Times New Roman"/>
          <w:kern w:val="24"/>
          <w:sz w:val="24"/>
          <w:szCs w:val="24"/>
        </w:rPr>
        <w:t xml:space="preserve"> </w:t>
      </w:r>
      <w:r w:rsidR="00CD097C">
        <w:rPr>
          <w:rFonts w:ascii="Times New Roman" w:hAnsi="Times New Roman" w:cs="Times New Roman"/>
          <w:kern w:val="24"/>
          <w:sz w:val="24"/>
          <w:szCs w:val="24"/>
        </w:rPr>
        <w:t>in the sense that they can occur at any given moment, have no discrete ending point, and are often difficult if not impossible to predict in advance.</w:t>
      </w:r>
      <w:r w:rsidR="00F10DC8">
        <w:rPr>
          <w:rStyle w:val="FootnoteReference"/>
          <w:rFonts w:ascii="Times New Roman" w:hAnsi="Times New Roman" w:cs="Times New Roman"/>
          <w:kern w:val="24"/>
          <w:sz w:val="24"/>
          <w:szCs w:val="24"/>
        </w:rPr>
        <w:footnoteReference w:id="33"/>
      </w:r>
      <w:r w:rsidR="00CC6E75">
        <w:rPr>
          <w:rFonts w:ascii="Times New Roman" w:hAnsi="Times New Roman" w:cs="Times New Roman"/>
          <w:kern w:val="24"/>
          <w:sz w:val="24"/>
          <w:szCs w:val="24"/>
        </w:rPr>
        <w:t xml:space="preserve"> </w:t>
      </w:r>
      <w:r w:rsidR="00FF01B7">
        <w:rPr>
          <w:rFonts w:ascii="Times New Roman" w:hAnsi="Times New Roman" w:cs="Times New Roman"/>
          <w:kern w:val="24"/>
          <w:sz w:val="24"/>
          <w:szCs w:val="24"/>
        </w:rPr>
        <w:t>An e</w:t>
      </w:r>
      <w:r w:rsidR="00FF01B7" w:rsidRPr="00FF01B7">
        <w:rPr>
          <w:rFonts w:ascii="Times New Roman" w:hAnsi="Times New Roman" w:cs="Times New Roman"/>
          <w:kern w:val="24"/>
          <w:sz w:val="24"/>
          <w:szCs w:val="24"/>
        </w:rPr>
        <w:t xml:space="preserve">xample would be a </w:t>
      </w:r>
      <w:r w:rsidR="00FF01B7" w:rsidRPr="00FF01B7">
        <w:rPr>
          <w:rFonts w:ascii="Times New Roman" w:hAnsi="Times New Roman" w:cs="Times New Roman"/>
          <w:sz w:val="24"/>
          <w:szCs w:val="24"/>
        </w:rPr>
        <w:t>t</w:t>
      </w:r>
      <w:r w:rsidR="00FF01B7" w:rsidRPr="00FF01B7">
        <w:rPr>
          <w:rFonts w:ascii="Times New Roman" w:hAnsi="Times New Roman" w:cs="Times New Roman"/>
          <w:kern w:val="24"/>
          <w:sz w:val="24"/>
          <w:szCs w:val="24"/>
        </w:rPr>
        <w:t xml:space="preserve">echnology company </w:t>
      </w:r>
      <w:r w:rsidR="00FF01B7">
        <w:rPr>
          <w:rFonts w:ascii="Times New Roman" w:hAnsi="Times New Roman" w:cs="Times New Roman"/>
          <w:kern w:val="24"/>
          <w:sz w:val="24"/>
          <w:szCs w:val="24"/>
        </w:rPr>
        <w:t xml:space="preserve">that </w:t>
      </w:r>
      <w:r w:rsidR="00FF01B7" w:rsidRPr="00FF01B7">
        <w:rPr>
          <w:rFonts w:ascii="Times New Roman" w:hAnsi="Times New Roman" w:cs="Times New Roman"/>
          <w:kern w:val="24"/>
          <w:sz w:val="24"/>
          <w:szCs w:val="24"/>
        </w:rPr>
        <w:t xml:space="preserve">has set up support centers in India, Costa Rica and Bucharest.  </w:t>
      </w:r>
      <w:r w:rsidR="00FF01B7" w:rsidRPr="00FF01B7">
        <w:rPr>
          <w:rFonts w:ascii="Times New Roman" w:hAnsi="Times New Roman" w:cs="Times New Roman"/>
          <w:sz w:val="24"/>
          <w:szCs w:val="24"/>
        </w:rPr>
        <w:t>When a cu</w:t>
      </w:r>
      <w:r w:rsidR="00FF01B7">
        <w:rPr>
          <w:rFonts w:ascii="Times New Roman" w:hAnsi="Times New Roman" w:cs="Times New Roman"/>
          <w:sz w:val="24"/>
          <w:szCs w:val="24"/>
        </w:rPr>
        <w:t xml:space="preserve">stomer contacts the company, the firm </w:t>
      </w:r>
      <w:r w:rsidR="00FF01B7" w:rsidRPr="00FF01B7">
        <w:rPr>
          <w:rFonts w:ascii="Times New Roman" w:hAnsi="Times New Roman" w:cs="Times New Roman"/>
          <w:sz w:val="24"/>
          <w:szCs w:val="24"/>
        </w:rPr>
        <w:t xml:space="preserve">uses an algorithm based on factors such as time </w:t>
      </w:r>
      <w:r w:rsidR="00FF01B7" w:rsidRPr="00FF01B7">
        <w:rPr>
          <w:rFonts w:ascii="Times New Roman" w:hAnsi="Times New Roman" w:cs="Times New Roman"/>
          <w:sz w:val="24"/>
          <w:szCs w:val="24"/>
        </w:rPr>
        <w:lastRenderedPageBreak/>
        <w:t>of day and customer location to determine which service location should handle the contact.</w:t>
      </w:r>
      <w:r w:rsidR="00FF01B7">
        <w:rPr>
          <w:rStyle w:val="FootnoteReference"/>
          <w:rFonts w:ascii="Times New Roman" w:hAnsi="Times New Roman" w:cs="Times New Roman"/>
          <w:sz w:val="24"/>
          <w:szCs w:val="24"/>
        </w:rPr>
        <w:footnoteReference w:id="34"/>
      </w:r>
      <w:r w:rsidR="00FF01B7" w:rsidRPr="00FF01B7">
        <w:rPr>
          <w:rFonts w:ascii="Times New Roman" w:hAnsi="Times New Roman" w:cs="Times New Roman"/>
          <w:sz w:val="24"/>
          <w:szCs w:val="24"/>
        </w:rPr>
        <w:t xml:space="preserve">  It then gives that center access to the customer’s </w:t>
      </w:r>
      <w:r w:rsidR="00FF01B7">
        <w:rPr>
          <w:rFonts w:ascii="Times New Roman" w:hAnsi="Times New Roman" w:cs="Times New Roman"/>
          <w:sz w:val="24"/>
          <w:szCs w:val="24"/>
        </w:rPr>
        <w:t xml:space="preserve">personal </w:t>
      </w:r>
      <w:r w:rsidR="00FF01B7" w:rsidRPr="00FF01B7">
        <w:rPr>
          <w:rFonts w:ascii="Times New Roman" w:hAnsi="Times New Roman" w:cs="Times New Roman"/>
          <w:sz w:val="24"/>
          <w:szCs w:val="24"/>
        </w:rPr>
        <w:t>information</w:t>
      </w:r>
      <w:r w:rsidR="00FF01B7">
        <w:rPr>
          <w:rFonts w:ascii="Times New Roman" w:hAnsi="Times New Roman" w:cs="Times New Roman"/>
          <w:sz w:val="24"/>
          <w:szCs w:val="24"/>
        </w:rPr>
        <w:t xml:space="preserve"> and directs the customer to it</w:t>
      </w:r>
      <w:r w:rsidR="00FF01B7" w:rsidRPr="00FF01B7">
        <w:rPr>
          <w:rFonts w:ascii="Times New Roman" w:hAnsi="Times New Roman" w:cs="Times New Roman"/>
          <w:kern w:val="24"/>
          <w:sz w:val="24"/>
          <w:szCs w:val="24"/>
        </w:rPr>
        <w:t>.</w:t>
      </w:r>
      <w:r w:rsidR="00FF01B7">
        <w:rPr>
          <w:rStyle w:val="FootnoteReference"/>
          <w:rFonts w:ascii="Times New Roman" w:hAnsi="Times New Roman" w:cs="Times New Roman"/>
          <w:kern w:val="24"/>
          <w:sz w:val="24"/>
          <w:szCs w:val="24"/>
        </w:rPr>
        <w:footnoteReference w:id="35"/>
      </w:r>
      <w:r w:rsidR="00FF01B7" w:rsidRPr="00FF01B7">
        <w:rPr>
          <w:rFonts w:ascii="Times New Roman" w:hAnsi="Times New Roman" w:cs="Times New Roman"/>
          <w:kern w:val="24"/>
          <w:sz w:val="24"/>
          <w:szCs w:val="24"/>
        </w:rPr>
        <w:t xml:space="preserve">  The result is </w:t>
      </w:r>
      <w:r w:rsidR="00FF01B7">
        <w:rPr>
          <w:rFonts w:ascii="Times New Roman" w:hAnsi="Times New Roman" w:cs="Times New Roman"/>
          <w:kern w:val="24"/>
          <w:sz w:val="24"/>
          <w:szCs w:val="24"/>
        </w:rPr>
        <w:t xml:space="preserve">an </w:t>
      </w:r>
      <w:r w:rsidR="00FF01B7" w:rsidRPr="00FF01B7">
        <w:rPr>
          <w:rFonts w:ascii="Times New Roman" w:hAnsi="Times New Roman" w:cs="Times New Roman"/>
          <w:kern w:val="24"/>
          <w:sz w:val="24"/>
          <w:szCs w:val="24"/>
        </w:rPr>
        <w:t xml:space="preserve">international flow of personal data relating to customer service calls </w:t>
      </w:r>
      <w:r w:rsidR="00FF01B7">
        <w:rPr>
          <w:rFonts w:ascii="Times New Roman" w:hAnsi="Times New Roman" w:cs="Times New Roman"/>
          <w:kern w:val="24"/>
          <w:sz w:val="24"/>
          <w:szCs w:val="24"/>
        </w:rPr>
        <w:t>that is context-dependent, “</w:t>
      </w:r>
      <w:r w:rsidR="00FF01B7" w:rsidRPr="00FF01B7">
        <w:rPr>
          <w:rFonts w:ascii="Times New Roman" w:hAnsi="Times New Roman" w:cs="Times New Roman"/>
          <w:kern w:val="24"/>
          <w:sz w:val="24"/>
          <w:szCs w:val="24"/>
        </w:rPr>
        <w:t>extremely dynamic and cannot necessarily be predicted in advance.”</w:t>
      </w:r>
      <w:r w:rsidR="00FF01B7">
        <w:rPr>
          <w:rStyle w:val="FootnoteReference"/>
          <w:rFonts w:ascii="Times New Roman" w:hAnsi="Times New Roman" w:cs="Times New Roman"/>
          <w:kern w:val="24"/>
          <w:sz w:val="24"/>
          <w:szCs w:val="24"/>
        </w:rPr>
        <w:footnoteReference w:id="36"/>
      </w:r>
    </w:p>
    <w:p w:rsidR="00753EB1" w:rsidRDefault="00C20313"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In sum, the rise of the Internet has exponentially increased the volume of international transfers of personal data.</w:t>
      </w:r>
      <w:r w:rsidRPr="00C20313">
        <w:rPr>
          <w:rStyle w:val="FootnoteReference"/>
          <w:rFonts w:ascii="Times New Roman" w:hAnsi="Times New Roman" w:cs="Times New Roman"/>
          <w:kern w:val="24"/>
          <w:sz w:val="24"/>
          <w:szCs w:val="24"/>
        </w:rPr>
        <w:t xml:space="preserve"> </w:t>
      </w:r>
      <w:r>
        <w:rPr>
          <w:rStyle w:val="FootnoteReference"/>
          <w:rFonts w:ascii="Times New Roman" w:hAnsi="Times New Roman" w:cs="Times New Roman"/>
          <w:kern w:val="24"/>
          <w:sz w:val="24"/>
          <w:szCs w:val="24"/>
        </w:rPr>
        <w:footnoteReference w:id="37"/>
      </w:r>
      <w:r>
        <w:rPr>
          <w:rFonts w:ascii="Times New Roman" w:hAnsi="Times New Roman" w:cs="Times New Roman"/>
          <w:kern w:val="24"/>
          <w:sz w:val="24"/>
          <w:szCs w:val="24"/>
        </w:rPr>
        <w:t xml:space="preserve">  It has also changed the nature of these transmissions from transfers that were generally </w:t>
      </w:r>
      <w:r w:rsidR="00753EB1">
        <w:rPr>
          <w:rFonts w:ascii="Times New Roman" w:hAnsi="Times New Roman" w:cs="Times New Roman"/>
          <w:kern w:val="24"/>
          <w:sz w:val="24"/>
          <w:szCs w:val="24"/>
        </w:rPr>
        <w:t xml:space="preserve">local, point-to-point, and discrete, </w:t>
      </w:r>
      <w:r>
        <w:rPr>
          <w:rFonts w:ascii="Times New Roman" w:hAnsi="Times New Roman" w:cs="Times New Roman"/>
          <w:kern w:val="24"/>
          <w:sz w:val="24"/>
          <w:szCs w:val="24"/>
        </w:rPr>
        <w:t xml:space="preserve">into global data flows that are </w:t>
      </w:r>
      <w:r w:rsidR="00753EB1">
        <w:rPr>
          <w:rFonts w:ascii="Times New Roman" w:hAnsi="Times New Roman" w:cs="Times New Roman"/>
          <w:kern w:val="24"/>
          <w:sz w:val="24"/>
          <w:szCs w:val="24"/>
        </w:rPr>
        <w:t xml:space="preserve">increasingly </w:t>
      </w:r>
      <w:r>
        <w:rPr>
          <w:rFonts w:ascii="Times New Roman" w:hAnsi="Times New Roman" w:cs="Times New Roman"/>
          <w:kern w:val="24"/>
          <w:sz w:val="24"/>
          <w:szCs w:val="24"/>
        </w:rPr>
        <w:t>cross-border</w:t>
      </w:r>
      <w:r w:rsidR="00F73F88">
        <w:rPr>
          <w:rFonts w:ascii="Times New Roman" w:hAnsi="Times New Roman" w:cs="Times New Roman"/>
          <w:kern w:val="24"/>
          <w:sz w:val="24"/>
          <w:szCs w:val="24"/>
        </w:rPr>
        <w:t>, networked, multi-point, continuous and dynamic.</w:t>
      </w:r>
      <w:r w:rsidR="00753EB1">
        <w:rPr>
          <w:rStyle w:val="FootnoteReference"/>
          <w:rFonts w:ascii="Times New Roman" w:hAnsi="Times New Roman" w:cs="Times New Roman"/>
          <w:kern w:val="24"/>
          <w:sz w:val="24"/>
          <w:szCs w:val="24"/>
        </w:rPr>
        <w:footnoteReference w:id="38"/>
      </w:r>
      <w:r w:rsidR="00753EB1" w:rsidRPr="00753EB1">
        <w:rPr>
          <w:rStyle w:val="FootnoteReference"/>
          <w:rFonts w:ascii="Times New Roman" w:hAnsi="Times New Roman" w:cs="Times New Roman"/>
          <w:kern w:val="24"/>
          <w:sz w:val="24"/>
          <w:szCs w:val="24"/>
        </w:rPr>
        <w:t xml:space="preserve"> </w:t>
      </w:r>
    </w:p>
    <w:p w:rsidR="00CC6E75" w:rsidRPr="00296FC5" w:rsidRDefault="00CC6E75" w:rsidP="001610E3">
      <w:pPr>
        <w:autoSpaceDE w:val="0"/>
        <w:autoSpaceDN w:val="0"/>
        <w:adjustRightInd w:val="0"/>
        <w:spacing w:after="0" w:line="480" w:lineRule="auto"/>
        <w:rPr>
          <w:rFonts w:ascii="Times New Roman" w:hAnsi="Times New Roman" w:cs="Times New Roman"/>
          <w:kern w:val="24"/>
          <w:sz w:val="24"/>
          <w:szCs w:val="24"/>
        </w:rPr>
      </w:pPr>
    </w:p>
    <w:p w:rsidR="00CC6E75" w:rsidRPr="001610E3" w:rsidRDefault="005A36B8" w:rsidP="001610E3">
      <w:pPr>
        <w:pStyle w:val="ListParagraph"/>
        <w:numPr>
          <w:ilvl w:val="1"/>
          <w:numId w:val="6"/>
        </w:numPr>
        <w:autoSpaceDE w:val="0"/>
        <w:autoSpaceDN w:val="0"/>
        <w:adjustRightInd w:val="0"/>
        <w:spacing w:after="0" w:line="480" w:lineRule="auto"/>
        <w:rPr>
          <w:rFonts w:ascii="Times New Roman" w:hAnsi="Times New Roman" w:cs="Times New Roman"/>
          <w:kern w:val="24"/>
          <w:sz w:val="24"/>
          <w:szCs w:val="24"/>
          <w:u w:val="single"/>
        </w:rPr>
      </w:pPr>
      <w:r w:rsidRPr="00296FC5">
        <w:rPr>
          <w:rFonts w:ascii="Times New Roman" w:hAnsi="Times New Roman" w:cs="Times New Roman"/>
          <w:kern w:val="24"/>
          <w:sz w:val="24"/>
          <w:szCs w:val="24"/>
          <w:u w:val="single"/>
        </w:rPr>
        <w:t>The Conflict between Global Data Flows and National Data Protection Laws</w:t>
      </w:r>
    </w:p>
    <w:p w:rsidR="00CC6E75" w:rsidRDefault="00584B0F"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00177BB2">
        <w:rPr>
          <w:rFonts w:ascii="Times New Roman" w:hAnsi="Times New Roman" w:cs="Times New Roman"/>
          <w:kern w:val="24"/>
          <w:sz w:val="24"/>
          <w:szCs w:val="24"/>
        </w:rPr>
        <w:t>Democratic n</w:t>
      </w:r>
      <w:r w:rsidR="005A36B8">
        <w:rPr>
          <w:rFonts w:ascii="Times New Roman" w:hAnsi="Times New Roman" w:cs="Times New Roman"/>
          <w:kern w:val="24"/>
          <w:sz w:val="24"/>
          <w:szCs w:val="24"/>
        </w:rPr>
        <w:t>ations broadly agree on the core privacy protections that should apply in the commercial sphere.</w:t>
      </w:r>
      <w:r w:rsidR="00D75F87" w:rsidRPr="00D75F87">
        <w:rPr>
          <w:rStyle w:val="FootnoteReference"/>
          <w:rFonts w:ascii="Times New Roman" w:hAnsi="Times New Roman" w:cs="Times New Roman"/>
          <w:kern w:val="24"/>
          <w:sz w:val="24"/>
          <w:szCs w:val="24"/>
        </w:rPr>
        <w:t xml:space="preserve"> </w:t>
      </w:r>
      <w:r w:rsidR="00D75F87">
        <w:rPr>
          <w:rStyle w:val="FootnoteReference"/>
          <w:rFonts w:ascii="Times New Roman" w:hAnsi="Times New Roman" w:cs="Times New Roman"/>
          <w:kern w:val="24"/>
          <w:sz w:val="24"/>
          <w:szCs w:val="24"/>
        </w:rPr>
        <w:footnoteReference w:id="39"/>
      </w:r>
      <w:r w:rsidR="00CC6E75">
        <w:rPr>
          <w:rFonts w:ascii="Times New Roman" w:hAnsi="Times New Roman" w:cs="Times New Roman"/>
          <w:kern w:val="24"/>
          <w:sz w:val="24"/>
          <w:szCs w:val="24"/>
        </w:rPr>
        <w:t xml:space="preserve"> </w:t>
      </w:r>
      <w:r w:rsidR="005A36B8">
        <w:rPr>
          <w:rFonts w:ascii="Times New Roman" w:hAnsi="Times New Roman" w:cs="Times New Roman"/>
          <w:kern w:val="24"/>
          <w:sz w:val="24"/>
          <w:szCs w:val="24"/>
        </w:rPr>
        <w:t xml:space="preserve">The </w:t>
      </w:r>
      <w:r w:rsidR="00E50216">
        <w:rPr>
          <w:rFonts w:ascii="Times New Roman" w:hAnsi="Times New Roman" w:cs="Times New Roman"/>
          <w:kern w:val="24"/>
          <w:sz w:val="24"/>
          <w:szCs w:val="24"/>
        </w:rPr>
        <w:t>Organization for Economic Co-Operation and Development’s (OECD)</w:t>
      </w:r>
      <w:r w:rsidR="005A36B8">
        <w:rPr>
          <w:rFonts w:ascii="Times New Roman" w:hAnsi="Times New Roman" w:cs="Times New Roman"/>
          <w:kern w:val="24"/>
          <w:sz w:val="24"/>
          <w:szCs w:val="24"/>
        </w:rPr>
        <w:t xml:space="preserve"> widely-endorsed list of Privacy Principles is the best </w:t>
      </w:r>
      <w:r w:rsidR="00177BB2">
        <w:rPr>
          <w:rFonts w:ascii="Times New Roman" w:hAnsi="Times New Roman" w:cs="Times New Roman"/>
          <w:kern w:val="24"/>
          <w:sz w:val="24"/>
          <w:szCs w:val="24"/>
        </w:rPr>
        <w:t xml:space="preserve">reflection </w:t>
      </w:r>
      <w:r w:rsidR="005A36B8">
        <w:rPr>
          <w:rFonts w:ascii="Times New Roman" w:hAnsi="Times New Roman" w:cs="Times New Roman"/>
          <w:kern w:val="24"/>
          <w:sz w:val="24"/>
          <w:szCs w:val="24"/>
        </w:rPr>
        <w:t>of this consensus.</w:t>
      </w:r>
      <w:r w:rsidR="006D2A03">
        <w:rPr>
          <w:rStyle w:val="FootnoteReference"/>
          <w:rFonts w:ascii="Times New Roman" w:hAnsi="Times New Roman" w:cs="Times New Roman"/>
          <w:kern w:val="24"/>
          <w:sz w:val="24"/>
          <w:szCs w:val="24"/>
        </w:rPr>
        <w:footnoteReference w:id="40"/>
      </w:r>
    </w:p>
    <w:p w:rsidR="00296FC5" w:rsidRDefault="005A36B8"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important </w:t>
      </w:r>
      <w:r w:rsidR="00F12479">
        <w:rPr>
          <w:rFonts w:ascii="Times New Roman" w:hAnsi="Times New Roman" w:cs="Times New Roman"/>
          <w:kern w:val="24"/>
          <w:sz w:val="24"/>
          <w:szCs w:val="24"/>
        </w:rPr>
        <w:t>differences between national systems occur, not with respect to these broad principles, but in how countries interpret and apply them.</w:t>
      </w:r>
      <w:r w:rsidR="00D75F87" w:rsidRPr="00D75F87">
        <w:rPr>
          <w:rStyle w:val="FootnoteReference"/>
          <w:rFonts w:ascii="Times New Roman" w:hAnsi="Times New Roman" w:cs="Times New Roman"/>
          <w:kern w:val="24"/>
          <w:sz w:val="24"/>
          <w:szCs w:val="24"/>
        </w:rPr>
        <w:t xml:space="preserve"> </w:t>
      </w:r>
      <w:r w:rsidR="00D75F87">
        <w:rPr>
          <w:rStyle w:val="FootnoteReference"/>
          <w:rFonts w:ascii="Times New Roman" w:hAnsi="Times New Roman" w:cs="Times New Roman"/>
          <w:kern w:val="24"/>
          <w:sz w:val="24"/>
          <w:szCs w:val="24"/>
        </w:rPr>
        <w:footnoteReference w:id="41"/>
      </w:r>
      <w:r w:rsidR="00CC6E75">
        <w:rPr>
          <w:rFonts w:ascii="Times New Roman" w:hAnsi="Times New Roman" w:cs="Times New Roman"/>
          <w:kern w:val="24"/>
          <w:sz w:val="24"/>
          <w:szCs w:val="24"/>
        </w:rPr>
        <w:t xml:space="preserve"> Examples abound.  S</w:t>
      </w:r>
      <w:r w:rsidR="001D4C2B">
        <w:rPr>
          <w:rFonts w:ascii="Times New Roman" w:hAnsi="Times New Roman" w:cs="Times New Roman"/>
          <w:kern w:val="24"/>
          <w:sz w:val="24"/>
          <w:szCs w:val="24"/>
        </w:rPr>
        <w:t>ome nations define “personally identifiable information” (PII) more broadly than others.</w:t>
      </w:r>
      <w:r w:rsidR="00711E17">
        <w:rPr>
          <w:rStyle w:val="FootnoteReference"/>
          <w:rFonts w:ascii="Times New Roman" w:hAnsi="Times New Roman" w:cs="Times New Roman"/>
          <w:kern w:val="24"/>
          <w:sz w:val="24"/>
          <w:szCs w:val="24"/>
        </w:rPr>
        <w:footnoteReference w:id="42"/>
      </w:r>
      <w:r w:rsidR="00CC6E75">
        <w:rPr>
          <w:rFonts w:ascii="Times New Roman" w:hAnsi="Times New Roman" w:cs="Times New Roman"/>
          <w:kern w:val="24"/>
          <w:sz w:val="24"/>
          <w:szCs w:val="24"/>
        </w:rPr>
        <w:t xml:space="preserve"> </w:t>
      </w:r>
      <w:r w:rsidR="001D4C2B">
        <w:rPr>
          <w:rFonts w:ascii="Times New Roman" w:hAnsi="Times New Roman" w:cs="Times New Roman"/>
          <w:kern w:val="24"/>
          <w:sz w:val="24"/>
          <w:szCs w:val="24"/>
        </w:rPr>
        <w:t xml:space="preserve">Some </w:t>
      </w:r>
      <w:r w:rsidR="001D4C2B">
        <w:rPr>
          <w:rFonts w:ascii="Times New Roman" w:hAnsi="Times New Roman" w:cs="Times New Roman"/>
          <w:kern w:val="24"/>
          <w:sz w:val="24"/>
          <w:szCs w:val="24"/>
        </w:rPr>
        <w:lastRenderedPageBreak/>
        <w:t>exclude certain types of personal information, even if it falls within the definition of PII.</w:t>
      </w:r>
      <w:r w:rsidR="00CC6E75">
        <w:rPr>
          <w:rFonts w:ascii="Times New Roman" w:hAnsi="Times New Roman" w:cs="Times New Roman"/>
          <w:kern w:val="24"/>
          <w:sz w:val="24"/>
          <w:szCs w:val="24"/>
        </w:rPr>
        <w:t xml:space="preserve"> </w:t>
      </w:r>
      <w:r w:rsidR="001D4C2B">
        <w:rPr>
          <w:rFonts w:ascii="Times New Roman" w:hAnsi="Times New Roman" w:cs="Times New Roman"/>
          <w:kern w:val="24"/>
          <w:sz w:val="24"/>
          <w:szCs w:val="24"/>
        </w:rPr>
        <w:t>Countries disagree on w</w:t>
      </w:r>
      <w:r w:rsidR="00CC6E75">
        <w:rPr>
          <w:rFonts w:ascii="Times New Roman" w:hAnsi="Times New Roman" w:cs="Times New Roman"/>
          <w:kern w:val="24"/>
          <w:sz w:val="24"/>
          <w:szCs w:val="24"/>
        </w:rPr>
        <w:t xml:space="preserve">hat constitutes adequate notice so that </w:t>
      </w:r>
      <w:r w:rsidR="00764605">
        <w:rPr>
          <w:rFonts w:ascii="Times New Roman" w:hAnsi="Times New Roman" w:cs="Times New Roman"/>
          <w:kern w:val="24"/>
          <w:sz w:val="24"/>
          <w:szCs w:val="24"/>
        </w:rPr>
        <w:t>“data collectors [may not be able to] use the same notice for residents of different jurisdictions.”</w:t>
      </w:r>
      <w:r w:rsidR="00764605">
        <w:rPr>
          <w:rStyle w:val="FootnoteReference"/>
          <w:rFonts w:ascii="Times New Roman" w:hAnsi="Times New Roman" w:cs="Times New Roman"/>
          <w:kern w:val="24"/>
          <w:sz w:val="24"/>
          <w:szCs w:val="24"/>
        </w:rPr>
        <w:footnoteReference w:id="43"/>
      </w:r>
      <w:r w:rsidR="00CC6E75">
        <w:rPr>
          <w:rFonts w:ascii="Times New Roman" w:hAnsi="Times New Roman" w:cs="Times New Roman"/>
          <w:kern w:val="24"/>
          <w:sz w:val="24"/>
          <w:szCs w:val="24"/>
        </w:rPr>
        <w:t xml:space="preserve"> </w:t>
      </w:r>
      <w:r w:rsidR="00764605">
        <w:rPr>
          <w:rFonts w:ascii="Times New Roman" w:hAnsi="Times New Roman" w:cs="Times New Roman"/>
          <w:kern w:val="24"/>
          <w:sz w:val="24"/>
          <w:szCs w:val="24"/>
        </w:rPr>
        <w:t xml:space="preserve">Nations </w:t>
      </w:r>
      <w:r w:rsidR="001D4C2B">
        <w:rPr>
          <w:rFonts w:ascii="Times New Roman" w:hAnsi="Times New Roman" w:cs="Times New Roman"/>
          <w:kern w:val="24"/>
          <w:sz w:val="24"/>
          <w:szCs w:val="24"/>
        </w:rPr>
        <w:t>differ as to the meaning o</w:t>
      </w:r>
      <w:r w:rsidR="00177BB2">
        <w:rPr>
          <w:rFonts w:ascii="Times New Roman" w:hAnsi="Times New Roman" w:cs="Times New Roman"/>
          <w:kern w:val="24"/>
          <w:sz w:val="24"/>
          <w:szCs w:val="24"/>
        </w:rPr>
        <w:t xml:space="preserve">f meaningful choice, and as to when choice can be opt-out, and when it must be opt-in.  </w:t>
      </w:r>
      <w:r w:rsidR="00CC6E75">
        <w:rPr>
          <w:rFonts w:ascii="Times New Roman" w:hAnsi="Times New Roman" w:cs="Times New Roman"/>
          <w:kern w:val="24"/>
          <w:sz w:val="24"/>
          <w:szCs w:val="24"/>
        </w:rPr>
        <w:t xml:space="preserve"> </w:t>
      </w:r>
      <w:r w:rsidR="001D4C2B">
        <w:rPr>
          <w:rFonts w:ascii="Times New Roman" w:hAnsi="Times New Roman" w:cs="Times New Roman"/>
          <w:kern w:val="24"/>
          <w:sz w:val="24"/>
          <w:szCs w:val="24"/>
        </w:rPr>
        <w:t xml:space="preserve">The European Union requires companies </w:t>
      </w:r>
      <w:r w:rsidR="00177BB2">
        <w:rPr>
          <w:rFonts w:ascii="Times New Roman" w:hAnsi="Times New Roman" w:cs="Times New Roman"/>
          <w:kern w:val="24"/>
          <w:sz w:val="24"/>
          <w:szCs w:val="24"/>
        </w:rPr>
        <w:t xml:space="preserve">to </w:t>
      </w:r>
      <w:r w:rsidR="001D4C2B">
        <w:rPr>
          <w:rFonts w:ascii="Times New Roman" w:hAnsi="Times New Roman" w:cs="Times New Roman"/>
          <w:kern w:val="24"/>
          <w:sz w:val="24"/>
          <w:szCs w:val="24"/>
        </w:rPr>
        <w:t xml:space="preserve">notify the data subject of their data collection activities, and the data protection authorities of </w:t>
      </w:r>
      <w:r w:rsidR="00177BB2">
        <w:rPr>
          <w:rFonts w:ascii="Times New Roman" w:hAnsi="Times New Roman" w:cs="Times New Roman"/>
          <w:kern w:val="24"/>
          <w:sz w:val="24"/>
          <w:szCs w:val="24"/>
        </w:rPr>
        <w:t>their data processing operations.</w:t>
      </w:r>
      <w:r w:rsidR="00017788">
        <w:rPr>
          <w:rStyle w:val="FootnoteReference"/>
          <w:rFonts w:ascii="Times New Roman" w:hAnsi="Times New Roman" w:cs="Times New Roman"/>
          <w:kern w:val="24"/>
          <w:sz w:val="24"/>
          <w:szCs w:val="24"/>
        </w:rPr>
        <w:footnoteReference w:id="44"/>
      </w:r>
      <w:r w:rsidR="00177BB2">
        <w:rPr>
          <w:rFonts w:ascii="Times New Roman" w:hAnsi="Times New Roman" w:cs="Times New Roman"/>
          <w:kern w:val="24"/>
          <w:sz w:val="24"/>
          <w:szCs w:val="24"/>
        </w:rPr>
        <w:t xml:space="preserve">  </w:t>
      </w:r>
      <w:r w:rsidR="00177BB2" w:rsidRPr="00177BB2">
        <w:rPr>
          <w:rFonts w:ascii="Times New Roman" w:hAnsi="Times New Roman" w:cs="Times New Roman"/>
          <w:kern w:val="24"/>
          <w:sz w:val="24"/>
          <w:szCs w:val="24"/>
        </w:rPr>
        <w:t>The United States does not.</w:t>
      </w:r>
      <w:r w:rsidR="00CC6E75">
        <w:rPr>
          <w:rFonts w:ascii="Times New Roman" w:hAnsi="Times New Roman" w:cs="Times New Roman"/>
          <w:kern w:val="24"/>
          <w:sz w:val="24"/>
          <w:szCs w:val="24"/>
        </w:rPr>
        <w:t xml:space="preserve"> </w:t>
      </w:r>
      <w:r w:rsidR="00177BB2">
        <w:rPr>
          <w:rFonts w:ascii="Times New Roman" w:hAnsi="Times New Roman" w:cs="Times New Roman"/>
          <w:kern w:val="24"/>
          <w:sz w:val="24"/>
          <w:szCs w:val="24"/>
        </w:rPr>
        <w:t>Nations also differ significantly in the execution and enforcement of their divergent privacy laws.</w:t>
      </w:r>
      <w:r w:rsidR="0002306C">
        <w:rPr>
          <w:rStyle w:val="FootnoteReference"/>
          <w:rFonts w:ascii="Times New Roman" w:hAnsi="Times New Roman" w:cs="Times New Roman"/>
          <w:kern w:val="24"/>
          <w:sz w:val="24"/>
          <w:szCs w:val="24"/>
        </w:rPr>
        <w:footnoteReference w:id="45"/>
      </w:r>
      <w:r w:rsidR="00CC6E75">
        <w:rPr>
          <w:rFonts w:ascii="Times New Roman" w:hAnsi="Times New Roman" w:cs="Times New Roman"/>
          <w:kern w:val="24"/>
          <w:sz w:val="24"/>
          <w:szCs w:val="24"/>
        </w:rPr>
        <w:t xml:space="preserve"> </w:t>
      </w:r>
      <w:r w:rsidR="0068163D">
        <w:rPr>
          <w:rFonts w:ascii="Times New Roman" w:hAnsi="Times New Roman" w:cs="Times New Roman"/>
          <w:kern w:val="24"/>
          <w:sz w:val="24"/>
          <w:szCs w:val="24"/>
        </w:rPr>
        <w:t>Some</w:t>
      </w:r>
      <w:r w:rsidR="00711E17">
        <w:rPr>
          <w:rFonts w:ascii="Times New Roman" w:hAnsi="Times New Roman" w:cs="Times New Roman"/>
          <w:kern w:val="24"/>
          <w:sz w:val="24"/>
          <w:szCs w:val="24"/>
        </w:rPr>
        <w:t xml:space="preserve">, such as the </w:t>
      </w:r>
      <w:r w:rsidR="001C6D99">
        <w:rPr>
          <w:rFonts w:ascii="Times New Roman" w:hAnsi="Times New Roman" w:cs="Times New Roman"/>
          <w:kern w:val="24"/>
          <w:sz w:val="24"/>
          <w:szCs w:val="24"/>
        </w:rPr>
        <w:t>E.U.</w:t>
      </w:r>
      <w:r w:rsidR="00711E17">
        <w:rPr>
          <w:rFonts w:ascii="Times New Roman" w:hAnsi="Times New Roman" w:cs="Times New Roman"/>
          <w:kern w:val="24"/>
          <w:sz w:val="24"/>
          <w:szCs w:val="24"/>
        </w:rPr>
        <w:t xml:space="preserve"> nations,</w:t>
      </w:r>
      <w:r w:rsidR="0068163D">
        <w:rPr>
          <w:rFonts w:ascii="Times New Roman" w:hAnsi="Times New Roman" w:cs="Times New Roman"/>
          <w:kern w:val="24"/>
          <w:sz w:val="24"/>
          <w:szCs w:val="24"/>
        </w:rPr>
        <w:t xml:space="preserve"> have omnibus privacy laws.  Others</w:t>
      </w:r>
      <w:r w:rsidR="00711E17">
        <w:rPr>
          <w:rFonts w:ascii="Times New Roman" w:hAnsi="Times New Roman" w:cs="Times New Roman"/>
          <w:kern w:val="24"/>
          <w:sz w:val="24"/>
          <w:szCs w:val="24"/>
        </w:rPr>
        <w:t xml:space="preserve">, such as the United States, use </w:t>
      </w:r>
      <w:proofErr w:type="spellStart"/>
      <w:r w:rsidR="00711E17">
        <w:rPr>
          <w:rFonts w:ascii="Times New Roman" w:hAnsi="Times New Roman" w:cs="Times New Roman"/>
          <w:kern w:val="24"/>
          <w:sz w:val="24"/>
          <w:szCs w:val="24"/>
        </w:rPr>
        <w:t>sectoral</w:t>
      </w:r>
      <w:proofErr w:type="spellEnd"/>
      <w:r w:rsidR="00711E17">
        <w:rPr>
          <w:rFonts w:ascii="Times New Roman" w:hAnsi="Times New Roman" w:cs="Times New Roman"/>
          <w:kern w:val="24"/>
          <w:sz w:val="24"/>
          <w:szCs w:val="24"/>
        </w:rPr>
        <w:t xml:space="preserve"> laws</w:t>
      </w:r>
      <w:r w:rsidR="0068163D">
        <w:rPr>
          <w:rFonts w:ascii="Times New Roman" w:hAnsi="Times New Roman" w:cs="Times New Roman"/>
          <w:kern w:val="24"/>
          <w:sz w:val="24"/>
          <w:szCs w:val="24"/>
        </w:rPr>
        <w:t>.</w:t>
      </w:r>
      <w:r w:rsidR="00DD341B">
        <w:rPr>
          <w:rStyle w:val="FootnoteReference"/>
          <w:rFonts w:ascii="Times New Roman" w:hAnsi="Times New Roman" w:cs="Times New Roman"/>
          <w:kern w:val="24"/>
          <w:sz w:val="24"/>
          <w:szCs w:val="24"/>
        </w:rPr>
        <w:footnoteReference w:id="46"/>
      </w:r>
      <w:r w:rsidR="00CC6E75">
        <w:rPr>
          <w:rFonts w:ascii="Times New Roman" w:hAnsi="Times New Roman" w:cs="Times New Roman"/>
          <w:kern w:val="24"/>
          <w:sz w:val="24"/>
          <w:szCs w:val="24"/>
        </w:rPr>
        <w:t xml:space="preserve"> </w:t>
      </w:r>
      <w:r w:rsidR="00177BB2">
        <w:rPr>
          <w:rFonts w:ascii="Times New Roman" w:hAnsi="Times New Roman" w:cs="Times New Roman"/>
          <w:kern w:val="24"/>
          <w:sz w:val="24"/>
          <w:szCs w:val="24"/>
        </w:rPr>
        <w:t>Some provide more oversight</w:t>
      </w:r>
      <w:r w:rsidR="00017788">
        <w:rPr>
          <w:rFonts w:ascii="Times New Roman" w:hAnsi="Times New Roman" w:cs="Times New Roman"/>
          <w:kern w:val="24"/>
          <w:sz w:val="24"/>
          <w:szCs w:val="24"/>
        </w:rPr>
        <w:t xml:space="preserve"> and enforcement</w:t>
      </w:r>
      <w:r w:rsidR="00177BB2">
        <w:rPr>
          <w:rFonts w:ascii="Times New Roman" w:hAnsi="Times New Roman" w:cs="Times New Roman"/>
          <w:kern w:val="24"/>
          <w:sz w:val="24"/>
          <w:szCs w:val="24"/>
        </w:rPr>
        <w:t>; some less.</w:t>
      </w:r>
      <w:r w:rsidR="00017788">
        <w:rPr>
          <w:rStyle w:val="FootnoteReference"/>
          <w:rFonts w:ascii="Times New Roman" w:hAnsi="Times New Roman" w:cs="Times New Roman"/>
          <w:kern w:val="24"/>
          <w:sz w:val="24"/>
          <w:szCs w:val="24"/>
        </w:rPr>
        <w:footnoteReference w:id="47"/>
      </w:r>
      <w:r w:rsidR="00CC6E75">
        <w:rPr>
          <w:rFonts w:ascii="Times New Roman" w:hAnsi="Times New Roman" w:cs="Times New Roman"/>
          <w:kern w:val="24"/>
          <w:sz w:val="24"/>
          <w:szCs w:val="24"/>
        </w:rPr>
        <w:t xml:space="preserve"> </w:t>
      </w:r>
      <w:r w:rsidR="00177BB2">
        <w:rPr>
          <w:rFonts w:ascii="Times New Roman" w:hAnsi="Times New Roman" w:cs="Times New Roman"/>
          <w:kern w:val="24"/>
          <w:sz w:val="24"/>
          <w:szCs w:val="24"/>
        </w:rPr>
        <w:t>Some have active data protection authorities; some more passive DPAs; and some, such as the US, have</w:t>
      </w:r>
      <w:r w:rsidR="0068163D">
        <w:rPr>
          <w:rFonts w:ascii="Times New Roman" w:hAnsi="Times New Roman" w:cs="Times New Roman"/>
          <w:kern w:val="24"/>
          <w:sz w:val="24"/>
          <w:szCs w:val="24"/>
        </w:rPr>
        <w:t xml:space="preserve"> no</w:t>
      </w:r>
      <w:r w:rsidR="00177BB2">
        <w:rPr>
          <w:rFonts w:ascii="Times New Roman" w:hAnsi="Times New Roman" w:cs="Times New Roman"/>
          <w:kern w:val="24"/>
          <w:sz w:val="24"/>
          <w:szCs w:val="24"/>
        </w:rPr>
        <w:t xml:space="preserve"> DPA at all.</w:t>
      </w:r>
      <w:r w:rsidR="00177BB2" w:rsidRPr="00177BB2">
        <w:rPr>
          <w:rFonts w:ascii="Times New Roman" w:hAnsi="Times New Roman" w:cs="Times New Roman"/>
          <w:kern w:val="24"/>
          <w:sz w:val="24"/>
          <w:szCs w:val="24"/>
        </w:rPr>
        <w:t xml:space="preserve"> </w:t>
      </w:r>
    </w:p>
    <w:p w:rsidR="00017788" w:rsidRDefault="00017788"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These differences are particularly salient on the Internet where personal data is more likely to travel among a variety of legal jurisdictions and where </w:t>
      </w:r>
      <w:r w:rsidR="002A2E56">
        <w:rPr>
          <w:rFonts w:ascii="Times New Roman" w:hAnsi="Times New Roman" w:cs="Times New Roman"/>
          <w:kern w:val="24"/>
          <w:sz w:val="24"/>
          <w:szCs w:val="24"/>
        </w:rPr>
        <w:t>these “[</w:t>
      </w:r>
      <w:proofErr w:type="spellStart"/>
      <w:r w:rsidR="002A2E56">
        <w:rPr>
          <w:rFonts w:ascii="Times New Roman" w:hAnsi="Times New Roman" w:cs="Times New Roman"/>
          <w:kern w:val="24"/>
          <w:sz w:val="24"/>
          <w:szCs w:val="24"/>
        </w:rPr>
        <w:t>i</w:t>
      </w:r>
      <w:proofErr w:type="spellEnd"/>
      <w:r w:rsidR="002A2E56">
        <w:rPr>
          <w:rFonts w:ascii="Times New Roman" w:hAnsi="Times New Roman" w:cs="Times New Roman"/>
          <w:kern w:val="24"/>
          <w:sz w:val="24"/>
          <w:szCs w:val="24"/>
        </w:rPr>
        <w:t>]</w:t>
      </w:r>
      <w:proofErr w:type="spellStart"/>
      <w:r w:rsidR="002A2E56">
        <w:rPr>
          <w:rFonts w:ascii="Times New Roman" w:hAnsi="Times New Roman" w:cs="Times New Roman"/>
          <w:kern w:val="24"/>
          <w:sz w:val="24"/>
          <w:szCs w:val="24"/>
        </w:rPr>
        <w:t>nternational</w:t>
      </w:r>
      <w:proofErr w:type="spellEnd"/>
      <w:r w:rsidR="002A2E56">
        <w:rPr>
          <w:rFonts w:ascii="Times New Roman" w:hAnsi="Times New Roman" w:cs="Times New Roman"/>
          <w:kern w:val="24"/>
          <w:sz w:val="24"/>
          <w:szCs w:val="24"/>
        </w:rPr>
        <w:t xml:space="preserve"> data flows . . . [force] divergent data protection policies and rules to confront each other with ever greater frequency.”</w:t>
      </w:r>
      <w:r w:rsidR="002A2E56">
        <w:rPr>
          <w:rStyle w:val="FootnoteReference"/>
          <w:rFonts w:ascii="Times New Roman" w:hAnsi="Times New Roman" w:cs="Times New Roman"/>
          <w:kern w:val="24"/>
          <w:sz w:val="24"/>
          <w:szCs w:val="24"/>
        </w:rPr>
        <w:footnoteReference w:id="48"/>
      </w:r>
      <w:r w:rsidR="00296FC5">
        <w:rPr>
          <w:rFonts w:ascii="Times New Roman" w:hAnsi="Times New Roman" w:cs="Times New Roman"/>
          <w:kern w:val="24"/>
          <w:sz w:val="24"/>
          <w:szCs w:val="24"/>
        </w:rPr>
        <w:t xml:space="preserve"> </w:t>
      </w:r>
      <w:r w:rsidR="00661673">
        <w:rPr>
          <w:rFonts w:ascii="Times New Roman" w:hAnsi="Times New Roman" w:cs="Times New Roman"/>
          <w:kern w:val="24"/>
          <w:sz w:val="24"/>
          <w:szCs w:val="24"/>
        </w:rPr>
        <w:t>They cause major difficulties both for governments and individuals who wish to protect personal information as it travels across the globe, and for businesses that depend on the cross-border transfer of personal data.</w:t>
      </w:r>
    </w:p>
    <w:p w:rsidR="00157E8A" w:rsidRDefault="00157E8A" w:rsidP="001610E3">
      <w:pPr>
        <w:autoSpaceDE w:val="0"/>
        <w:autoSpaceDN w:val="0"/>
        <w:adjustRightInd w:val="0"/>
        <w:spacing w:after="0" w:line="480" w:lineRule="auto"/>
        <w:ind w:firstLine="720"/>
        <w:rPr>
          <w:rFonts w:ascii="Times New Roman" w:hAnsi="Times New Roman" w:cs="Times New Roman"/>
          <w:kern w:val="24"/>
          <w:sz w:val="24"/>
          <w:szCs w:val="24"/>
        </w:rPr>
      </w:pPr>
    </w:p>
    <w:p w:rsidR="001312AC" w:rsidRDefault="001312AC">
      <w:pPr>
        <w:rPr>
          <w:rFonts w:ascii="Times New Roman" w:hAnsi="Times New Roman" w:cs="Times New Roman"/>
          <w:kern w:val="24"/>
          <w:sz w:val="24"/>
          <w:szCs w:val="24"/>
        </w:rPr>
      </w:pPr>
      <w:r>
        <w:rPr>
          <w:rFonts w:ascii="Times New Roman" w:hAnsi="Times New Roman" w:cs="Times New Roman"/>
          <w:kern w:val="24"/>
          <w:sz w:val="24"/>
          <w:szCs w:val="24"/>
        </w:rPr>
        <w:br w:type="page"/>
      </w:r>
    </w:p>
    <w:p w:rsidR="00296FC5" w:rsidRDefault="00296FC5" w:rsidP="001610E3">
      <w:pPr>
        <w:autoSpaceDE w:val="0"/>
        <w:autoSpaceDN w:val="0"/>
        <w:adjustRightInd w:val="0"/>
        <w:spacing w:after="0" w:line="480" w:lineRule="auto"/>
        <w:ind w:left="360"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1.</w:t>
      </w:r>
      <w:r>
        <w:rPr>
          <w:rFonts w:ascii="Times New Roman" w:hAnsi="Times New Roman" w:cs="Times New Roman"/>
          <w:kern w:val="24"/>
          <w:sz w:val="24"/>
          <w:szCs w:val="24"/>
        </w:rPr>
        <w:tab/>
      </w:r>
      <w:r w:rsidR="00357156">
        <w:rPr>
          <w:rFonts w:ascii="Times New Roman" w:hAnsi="Times New Roman" w:cs="Times New Roman"/>
          <w:kern w:val="24"/>
          <w:sz w:val="24"/>
          <w:szCs w:val="24"/>
        </w:rPr>
        <w:t>Problems for privacy protection</w:t>
      </w:r>
    </w:p>
    <w:p w:rsidR="00296FC5" w:rsidRDefault="00661673" w:rsidP="001610E3">
      <w:pPr>
        <w:autoSpaceDE w:val="0"/>
        <w:autoSpaceDN w:val="0"/>
        <w:adjustRightInd w:val="0"/>
        <w:spacing w:after="0" w:line="480" w:lineRule="auto"/>
        <w:ind w:firstLine="360"/>
        <w:rPr>
          <w:rFonts w:ascii="Times New Roman" w:hAnsi="Times New Roman" w:cs="Times New Roman"/>
          <w:kern w:val="24"/>
          <w:sz w:val="24"/>
          <w:szCs w:val="24"/>
        </w:rPr>
      </w:pPr>
      <w:r>
        <w:rPr>
          <w:rFonts w:ascii="Times New Roman" w:hAnsi="Times New Roman" w:cs="Times New Roman"/>
          <w:kern w:val="24"/>
          <w:sz w:val="24"/>
          <w:szCs w:val="24"/>
        </w:rPr>
        <w:t>The differences between national privacy regimes, combined with the explosion in global data transfers, pose a fundamental challenge for the protection of individual privacy.</w:t>
      </w:r>
      <w:r w:rsidR="00296FC5">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At the most basic level, a processor may move a person’s data from a jurisdiction </w:t>
      </w:r>
      <w:r w:rsidR="00353E72">
        <w:rPr>
          <w:rFonts w:ascii="Times New Roman" w:hAnsi="Times New Roman" w:cs="Times New Roman"/>
          <w:kern w:val="24"/>
          <w:sz w:val="24"/>
          <w:szCs w:val="24"/>
        </w:rPr>
        <w:t>with stringent and well-enforced privacy laws, to one with lenient and poorly enforced rules.</w:t>
      </w:r>
      <w:r w:rsidR="00705E7C">
        <w:rPr>
          <w:rStyle w:val="FootnoteReference"/>
          <w:rFonts w:ascii="Times New Roman" w:hAnsi="Times New Roman" w:cs="Times New Roman"/>
          <w:kern w:val="24"/>
          <w:sz w:val="24"/>
          <w:szCs w:val="24"/>
        </w:rPr>
        <w:footnoteReference w:id="49"/>
      </w:r>
      <w:r w:rsidR="00296FC5">
        <w:rPr>
          <w:rFonts w:ascii="Times New Roman" w:hAnsi="Times New Roman" w:cs="Times New Roman"/>
          <w:kern w:val="24"/>
          <w:sz w:val="24"/>
          <w:szCs w:val="24"/>
        </w:rPr>
        <w:t xml:space="preserve"> </w:t>
      </w:r>
      <w:r w:rsidR="00353E72">
        <w:rPr>
          <w:rFonts w:ascii="Times New Roman" w:hAnsi="Times New Roman" w:cs="Times New Roman"/>
          <w:kern w:val="24"/>
          <w:sz w:val="24"/>
          <w:szCs w:val="24"/>
        </w:rPr>
        <w:t>Some companies may purposely operate this way in order to take advantage of “regulatory arbitrage.”</w:t>
      </w:r>
      <w:r w:rsidR="001573CD" w:rsidRPr="001573CD">
        <w:rPr>
          <w:rStyle w:val="FootnoteReference"/>
          <w:rFonts w:ascii="Times New Roman" w:hAnsi="Times New Roman" w:cs="Times New Roman"/>
          <w:kern w:val="24"/>
          <w:sz w:val="24"/>
          <w:szCs w:val="24"/>
        </w:rPr>
        <w:t xml:space="preserve"> </w:t>
      </w:r>
      <w:r w:rsidR="001573CD">
        <w:rPr>
          <w:rStyle w:val="FootnoteReference"/>
          <w:rFonts w:ascii="Times New Roman" w:hAnsi="Times New Roman" w:cs="Times New Roman"/>
          <w:kern w:val="24"/>
          <w:sz w:val="24"/>
          <w:szCs w:val="24"/>
        </w:rPr>
        <w:footnoteReference w:id="50"/>
      </w:r>
      <w:r w:rsidR="00296FC5">
        <w:rPr>
          <w:rFonts w:ascii="Times New Roman" w:hAnsi="Times New Roman" w:cs="Times New Roman"/>
          <w:kern w:val="24"/>
          <w:sz w:val="24"/>
          <w:szCs w:val="24"/>
        </w:rPr>
        <w:t xml:space="preserve"> </w:t>
      </w:r>
      <w:r w:rsidR="00353E72">
        <w:rPr>
          <w:rFonts w:ascii="Times New Roman" w:hAnsi="Times New Roman" w:cs="Times New Roman"/>
          <w:kern w:val="24"/>
          <w:sz w:val="24"/>
          <w:szCs w:val="24"/>
        </w:rPr>
        <w:t>Global data flows, combined with national privacy laws, can accordingly result in the migration of personal data to those nations with the weakest law or, at minimum, to temporary gaps in privacy protection as the data moves through such a jurisdiction.</w:t>
      </w:r>
      <w:r w:rsidR="004D33C2">
        <w:rPr>
          <w:rStyle w:val="FootnoteReference"/>
          <w:rFonts w:ascii="Times New Roman" w:hAnsi="Times New Roman" w:cs="Times New Roman"/>
          <w:kern w:val="24"/>
          <w:sz w:val="24"/>
          <w:szCs w:val="24"/>
        </w:rPr>
        <w:footnoteReference w:id="51"/>
      </w:r>
    </w:p>
    <w:p w:rsidR="001312AC" w:rsidRDefault="00EE5AE8" w:rsidP="001610E3">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kern w:val="24"/>
          <w:sz w:val="24"/>
          <w:szCs w:val="24"/>
        </w:rPr>
        <w:t xml:space="preserve">Even where each of the relevant nations has </w:t>
      </w:r>
      <w:r w:rsidR="00F16CD1">
        <w:rPr>
          <w:rFonts w:ascii="Times New Roman" w:hAnsi="Times New Roman" w:cs="Times New Roman"/>
          <w:kern w:val="24"/>
          <w:sz w:val="24"/>
          <w:szCs w:val="24"/>
        </w:rPr>
        <w:t xml:space="preserve">implemented </w:t>
      </w:r>
      <w:r>
        <w:rPr>
          <w:rFonts w:ascii="Times New Roman" w:hAnsi="Times New Roman" w:cs="Times New Roman"/>
          <w:kern w:val="24"/>
          <w:sz w:val="24"/>
          <w:szCs w:val="24"/>
        </w:rPr>
        <w:t>meaningful privacy laws, the cross-border nature of today’s data transfers make it difficult to track compliance with them.</w:t>
      </w:r>
      <w:r w:rsidR="00296FC5">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For example, </w:t>
      </w:r>
      <w:r w:rsidR="000114BC">
        <w:rPr>
          <w:rFonts w:ascii="Times New Roman" w:hAnsi="Times New Roman" w:cs="Times New Roman"/>
          <w:kern w:val="24"/>
          <w:sz w:val="24"/>
          <w:szCs w:val="24"/>
        </w:rPr>
        <w:t>the dynamism and unpredictability of global data flows</w:t>
      </w:r>
      <w:r w:rsidR="00F16CD1">
        <w:rPr>
          <w:rFonts w:ascii="Times New Roman" w:hAnsi="Times New Roman" w:cs="Times New Roman"/>
          <w:kern w:val="24"/>
          <w:sz w:val="24"/>
          <w:szCs w:val="24"/>
        </w:rPr>
        <w:t xml:space="preserve"> make it difficult to tell where </w:t>
      </w:r>
      <w:r w:rsidR="000114BC">
        <w:rPr>
          <w:rFonts w:ascii="Times New Roman" w:hAnsi="Times New Roman" w:cs="Times New Roman"/>
          <w:kern w:val="24"/>
          <w:sz w:val="24"/>
          <w:szCs w:val="24"/>
        </w:rPr>
        <w:t>personal data are at any given moment</w:t>
      </w:r>
      <w:r w:rsidR="007D15DF">
        <w:rPr>
          <w:rFonts w:ascii="Times New Roman" w:hAnsi="Times New Roman" w:cs="Times New Roman"/>
          <w:kern w:val="24"/>
          <w:sz w:val="24"/>
          <w:szCs w:val="24"/>
        </w:rPr>
        <w:t>, which entity is responsible for them,</w:t>
      </w:r>
      <w:r w:rsidR="007D15DF">
        <w:rPr>
          <w:rStyle w:val="FootnoteReference"/>
          <w:rFonts w:ascii="Times New Roman" w:hAnsi="Times New Roman" w:cs="Times New Roman"/>
          <w:kern w:val="24"/>
          <w:sz w:val="24"/>
          <w:szCs w:val="24"/>
        </w:rPr>
        <w:footnoteReference w:id="52"/>
      </w:r>
      <w:r w:rsidR="000114BC">
        <w:rPr>
          <w:rFonts w:ascii="Times New Roman" w:hAnsi="Times New Roman" w:cs="Times New Roman"/>
          <w:kern w:val="24"/>
          <w:sz w:val="24"/>
          <w:szCs w:val="24"/>
        </w:rPr>
        <w:t xml:space="preserve"> or which jurisdiction’s laws apply.</w:t>
      </w:r>
      <w:r w:rsidR="00293B12">
        <w:rPr>
          <w:rStyle w:val="FootnoteReference"/>
          <w:rFonts w:ascii="Times New Roman" w:hAnsi="Times New Roman" w:cs="Times New Roman"/>
          <w:kern w:val="24"/>
          <w:sz w:val="24"/>
          <w:szCs w:val="24"/>
        </w:rPr>
        <w:footnoteReference w:id="53"/>
      </w:r>
      <w:r w:rsidR="007D15DF" w:rsidRPr="007D15DF">
        <w:rPr>
          <w:rFonts w:ascii="Times New Roman" w:hAnsi="Times New Roman" w:cs="Times New Roman"/>
          <w:kern w:val="24"/>
          <w:sz w:val="24"/>
          <w:szCs w:val="24"/>
        </w:rPr>
        <w:t xml:space="preserve"> </w:t>
      </w:r>
      <w:r w:rsidR="00F16CD1">
        <w:rPr>
          <w:rFonts w:ascii="Times New Roman" w:hAnsi="Times New Roman" w:cs="Times New Roman"/>
          <w:kern w:val="24"/>
          <w:sz w:val="24"/>
          <w:szCs w:val="24"/>
        </w:rPr>
        <w:t>This difficulty in establishing clear jurisdiction can, in turn, in inhibit enforcement</w:t>
      </w:r>
      <w:r w:rsidR="007B39AF">
        <w:rPr>
          <w:rFonts w:ascii="Times New Roman" w:hAnsi="Times New Roman" w:cs="Times New Roman"/>
          <w:kern w:val="24"/>
          <w:sz w:val="24"/>
          <w:szCs w:val="24"/>
        </w:rPr>
        <w:t>,</w:t>
      </w:r>
      <w:r w:rsidR="00B52F07">
        <w:rPr>
          <w:rStyle w:val="FootnoteReference"/>
          <w:rFonts w:ascii="Times New Roman" w:hAnsi="Times New Roman" w:cs="Times New Roman"/>
          <w:kern w:val="24"/>
          <w:sz w:val="24"/>
          <w:szCs w:val="24"/>
        </w:rPr>
        <w:footnoteReference w:id="54"/>
      </w:r>
      <w:r w:rsidR="007B39AF">
        <w:rPr>
          <w:rFonts w:ascii="Times New Roman" w:hAnsi="Times New Roman" w:cs="Times New Roman"/>
          <w:kern w:val="24"/>
          <w:sz w:val="24"/>
          <w:szCs w:val="24"/>
        </w:rPr>
        <w:t xml:space="preserve"> and make it hard for individuals to seek remedies for violations.</w:t>
      </w:r>
      <w:r w:rsidR="007B39AF">
        <w:rPr>
          <w:rStyle w:val="FootnoteReference"/>
          <w:rFonts w:ascii="Times New Roman" w:hAnsi="Times New Roman" w:cs="Times New Roman"/>
          <w:kern w:val="24"/>
          <w:sz w:val="24"/>
          <w:szCs w:val="24"/>
        </w:rPr>
        <w:footnoteReference w:id="55"/>
      </w:r>
      <w:r w:rsidR="00296FC5">
        <w:rPr>
          <w:rFonts w:ascii="Times New Roman" w:hAnsi="Times New Roman" w:cs="Times New Roman"/>
          <w:kern w:val="24"/>
          <w:sz w:val="24"/>
          <w:szCs w:val="24"/>
        </w:rPr>
        <w:t xml:space="preserve"> </w:t>
      </w:r>
      <w:r w:rsidR="00F16CD1">
        <w:rPr>
          <w:rFonts w:ascii="Times New Roman" w:hAnsi="Times New Roman" w:cs="Times New Roman"/>
          <w:kern w:val="24"/>
          <w:sz w:val="24"/>
          <w:szCs w:val="24"/>
        </w:rPr>
        <w:t xml:space="preserve">The overall effect is to create </w:t>
      </w:r>
      <w:r w:rsidR="00A853C7" w:rsidRPr="00F16CD1">
        <w:rPr>
          <w:rFonts w:ascii="Times New Roman" w:hAnsi="Times New Roman" w:cs="Times New Roman"/>
          <w:sz w:val="24"/>
          <w:szCs w:val="24"/>
        </w:rPr>
        <w:t xml:space="preserve">“uncertainty and instability of the protection of </w:t>
      </w:r>
      <w:proofErr w:type="gramStart"/>
      <w:r w:rsidR="00A853C7" w:rsidRPr="00F16CD1">
        <w:rPr>
          <w:rFonts w:ascii="Times New Roman" w:hAnsi="Times New Roman" w:cs="Times New Roman"/>
          <w:sz w:val="24"/>
          <w:szCs w:val="24"/>
        </w:rPr>
        <w:t>individuals</w:t>
      </w:r>
      <w:r w:rsidR="004537C7">
        <w:rPr>
          <w:rFonts w:ascii="Times New Roman" w:hAnsi="Times New Roman" w:cs="Times New Roman"/>
          <w:sz w:val="24"/>
          <w:szCs w:val="24"/>
        </w:rPr>
        <w:t>[</w:t>
      </w:r>
      <w:proofErr w:type="gramEnd"/>
      <w:r w:rsidR="004537C7">
        <w:rPr>
          <w:rFonts w:ascii="Times New Roman" w:hAnsi="Times New Roman" w:cs="Times New Roman"/>
          <w:sz w:val="24"/>
          <w:szCs w:val="24"/>
        </w:rPr>
        <w:t xml:space="preserve">’ </w:t>
      </w:r>
      <w:r w:rsidR="00F16CD1">
        <w:rPr>
          <w:rFonts w:ascii="Times New Roman" w:hAnsi="Times New Roman" w:cs="Times New Roman"/>
          <w:sz w:val="24"/>
          <w:szCs w:val="24"/>
        </w:rPr>
        <w:t>privacy]</w:t>
      </w:r>
      <w:r w:rsidR="00A853C7" w:rsidRPr="00F16CD1">
        <w:rPr>
          <w:rFonts w:ascii="Times New Roman" w:hAnsi="Times New Roman" w:cs="Times New Roman"/>
          <w:sz w:val="24"/>
          <w:szCs w:val="24"/>
        </w:rPr>
        <w:t>.”</w:t>
      </w:r>
      <w:r w:rsidR="00A853C7">
        <w:rPr>
          <w:rStyle w:val="FootnoteReference"/>
          <w:rFonts w:ascii="Times New Roman" w:hAnsi="Times New Roman" w:cs="Times New Roman"/>
          <w:sz w:val="24"/>
          <w:szCs w:val="24"/>
        </w:rPr>
        <w:footnoteReference w:id="56"/>
      </w:r>
    </w:p>
    <w:p w:rsidR="001312AC" w:rsidRDefault="001312AC">
      <w:pPr>
        <w:rPr>
          <w:rFonts w:ascii="Times New Roman" w:hAnsi="Times New Roman" w:cs="Times New Roman"/>
          <w:sz w:val="24"/>
          <w:szCs w:val="24"/>
        </w:rPr>
      </w:pPr>
      <w:r>
        <w:rPr>
          <w:rFonts w:ascii="Times New Roman" w:hAnsi="Times New Roman" w:cs="Times New Roman"/>
          <w:sz w:val="24"/>
          <w:szCs w:val="24"/>
        </w:rPr>
        <w:br w:type="page"/>
      </w:r>
    </w:p>
    <w:p w:rsidR="00A853C7" w:rsidRDefault="00A853C7" w:rsidP="001610E3">
      <w:pPr>
        <w:autoSpaceDE w:val="0"/>
        <w:autoSpaceDN w:val="0"/>
        <w:adjustRightInd w:val="0"/>
        <w:spacing w:after="0" w:line="480" w:lineRule="auto"/>
        <w:ind w:firstLine="360"/>
        <w:rPr>
          <w:rFonts w:ascii="Times New Roman" w:hAnsi="Times New Roman" w:cs="Times New Roman"/>
          <w:sz w:val="24"/>
          <w:szCs w:val="24"/>
        </w:rPr>
      </w:pPr>
    </w:p>
    <w:p w:rsidR="00296FC5" w:rsidRPr="001610E3" w:rsidRDefault="002A2E56" w:rsidP="001610E3">
      <w:pPr>
        <w:pStyle w:val="ListParagraph"/>
        <w:numPr>
          <w:ilvl w:val="0"/>
          <w:numId w:val="16"/>
        </w:numPr>
        <w:autoSpaceDE w:val="0"/>
        <w:autoSpaceDN w:val="0"/>
        <w:adjustRightInd w:val="0"/>
        <w:spacing w:after="0" w:line="480" w:lineRule="auto"/>
        <w:rPr>
          <w:rFonts w:ascii="Times New Roman" w:hAnsi="Times New Roman" w:cs="Times New Roman"/>
          <w:kern w:val="24"/>
          <w:sz w:val="24"/>
          <w:szCs w:val="24"/>
        </w:rPr>
      </w:pPr>
      <w:r w:rsidRPr="00026DB8">
        <w:rPr>
          <w:rFonts w:ascii="Times New Roman" w:hAnsi="Times New Roman" w:cs="Times New Roman"/>
          <w:kern w:val="24"/>
          <w:sz w:val="24"/>
          <w:szCs w:val="24"/>
        </w:rPr>
        <w:t>Problems for business</w:t>
      </w:r>
    </w:p>
    <w:p w:rsidR="00296FC5" w:rsidRDefault="00050238"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lack of consistency among </w:t>
      </w:r>
      <w:r w:rsidR="004537C7" w:rsidRPr="004537C7">
        <w:rPr>
          <w:rFonts w:ascii="Times New Roman" w:hAnsi="Times New Roman" w:cs="Times New Roman"/>
          <w:kern w:val="24"/>
          <w:sz w:val="24"/>
          <w:szCs w:val="24"/>
        </w:rPr>
        <w:t>national laws also creates sign</w:t>
      </w:r>
      <w:r w:rsidR="004537C7">
        <w:rPr>
          <w:rFonts w:ascii="Times New Roman" w:hAnsi="Times New Roman" w:cs="Times New Roman"/>
          <w:kern w:val="24"/>
          <w:sz w:val="24"/>
          <w:szCs w:val="24"/>
        </w:rPr>
        <w:t>ificant problems for the businesses that engage in cross-border transfers of personal data</w:t>
      </w:r>
      <w:r>
        <w:rPr>
          <w:rFonts w:ascii="Times New Roman" w:hAnsi="Times New Roman" w:cs="Times New Roman"/>
          <w:kern w:val="24"/>
          <w:sz w:val="24"/>
          <w:szCs w:val="24"/>
        </w:rPr>
        <w:t xml:space="preserve"> and desire to comply with legal requirements</w:t>
      </w:r>
      <w:r w:rsidR="004537C7">
        <w:rPr>
          <w:rFonts w:ascii="Times New Roman" w:hAnsi="Times New Roman" w:cs="Times New Roman"/>
          <w:kern w:val="24"/>
          <w:sz w:val="24"/>
          <w:szCs w:val="24"/>
        </w:rPr>
        <w:t>.</w:t>
      </w:r>
      <w:r w:rsidR="00A50B39">
        <w:rPr>
          <w:rStyle w:val="FootnoteReference"/>
          <w:rFonts w:ascii="Times New Roman" w:hAnsi="Times New Roman" w:cs="Times New Roman"/>
          <w:kern w:val="24"/>
          <w:sz w:val="24"/>
          <w:szCs w:val="24"/>
        </w:rPr>
        <w:footnoteReference w:id="57"/>
      </w:r>
      <w:r w:rsidR="00296FC5">
        <w:rPr>
          <w:rFonts w:ascii="Times New Roman" w:hAnsi="Times New Roman" w:cs="Times New Roman"/>
          <w:kern w:val="24"/>
          <w:sz w:val="24"/>
          <w:szCs w:val="24"/>
        </w:rPr>
        <w:t xml:space="preserve"> </w:t>
      </w:r>
      <w:r>
        <w:rPr>
          <w:rFonts w:ascii="Times New Roman" w:hAnsi="Times New Roman" w:cs="Times New Roman"/>
          <w:kern w:val="24"/>
          <w:sz w:val="24"/>
          <w:szCs w:val="24"/>
        </w:rPr>
        <w:t>These companies must closely track the flow of their data in order to know which jurisdiction’s rules apply at any given moment.</w:t>
      </w:r>
      <w:r w:rsidR="00296FC5">
        <w:rPr>
          <w:rFonts w:ascii="Times New Roman" w:hAnsi="Times New Roman" w:cs="Times New Roman"/>
          <w:kern w:val="24"/>
          <w:sz w:val="24"/>
          <w:szCs w:val="24"/>
        </w:rPr>
        <w:t xml:space="preserve"> </w:t>
      </w:r>
      <w:r>
        <w:rPr>
          <w:rFonts w:ascii="Times New Roman" w:hAnsi="Times New Roman" w:cs="Times New Roman"/>
          <w:kern w:val="24"/>
          <w:sz w:val="24"/>
          <w:szCs w:val="24"/>
        </w:rPr>
        <w:t>They must understand and monitor compliance with the privacy laws of each jurisdiction through which their data travels.</w:t>
      </w:r>
      <w:r w:rsidR="00296FC5">
        <w:rPr>
          <w:rFonts w:ascii="Times New Roman" w:hAnsi="Times New Roman" w:cs="Times New Roman"/>
          <w:kern w:val="24"/>
          <w:sz w:val="24"/>
          <w:szCs w:val="24"/>
        </w:rPr>
        <w:t xml:space="preserve"> </w:t>
      </w:r>
      <w:r w:rsidR="001763A5">
        <w:rPr>
          <w:rFonts w:ascii="Times New Roman" w:hAnsi="Times New Roman" w:cs="Times New Roman"/>
          <w:kern w:val="24"/>
          <w:sz w:val="24"/>
          <w:szCs w:val="24"/>
        </w:rPr>
        <w:t>Finally, they may need to seek multiple regulatory approvals for routine, cross-border data transfers.</w:t>
      </w:r>
      <w:r w:rsidR="001763A5">
        <w:rPr>
          <w:rStyle w:val="FootnoteReference"/>
          <w:rFonts w:ascii="Times New Roman" w:hAnsi="Times New Roman" w:cs="Times New Roman"/>
          <w:kern w:val="24"/>
          <w:sz w:val="24"/>
          <w:szCs w:val="24"/>
        </w:rPr>
        <w:footnoteReference w:id="58"/>
      </w:r>
      <w:r w:rsidR="00296FC5">
        <w:rPr>
          <w:rFonts w:ascii="Times New Roman" w:hAnsi="Times New Roman" w:cs="Times New Roman"/>
          <w:kern w:val="24"/>
          <w:sz w:val="24"/>
          <w:szCs w:val="24"/>
        </w:rPr>
        <w:t xml:space="preserve"> </w:t>
      </w:r>
      <w:r>
        <w:rPr>
          <w:rFonts w:ascii="Times New Roman" w:hAnsi="Times New Roman" w:cs="Times New Roman"/>
          <w:kern w:val="24"/>
          <w:sz w:val="24"/>
          <w:szCs w:val="24"/>
        </w:rPr>
        <w:t>These tasks make it far more costly and burdensome to achieve compliance than it would be if companies were able to follow a single set of privacy rules throughout their data’s lifecycle.</w:t>
      </w:r>
      <w:r w:rsidR="00931420">
        <w:rPr>
          <w:rStyle w:val="FootnoteReference"/>
          <w:rFonts w:ascii="Times New Roman" w:hAnsi="Times New Roman" w:cs="Times New Roman"/>
          <w:kern w:val="24"/>
          <w:sz w:val="24"/>
          <w:szCs w:val="24"/>
        </w:rPr>
        <w:footnoteReference w:id="59"/>
      </w:r>
      <w:r w:rsidR="00296FC5">
        <w:rPr>
          <w:rFonts w:ascii="Times New Roman" w:hAnsi="Times New Roman" w:cs="Times New Roman"/>
          <w:kern w:val="24"/>
          <w:sz w:val="24"/>
          <w:szCs w:val="24"/>
        </w:rPr>
        <w:t xml:space="preserve"> </w:t>
      </w:r>
      <w:r w:rsidR="001E7093">
        <w:rPr>
          <w:rFonts w:ascii="Times New Roman" w:hAnsi="Times New Roman" w:cs="Times New Roman"/>
          <w:kern w:val="24"/>
          <w:sz w:val="24"/>
          <w:szCs w:val="24"/>
        </w:rPr>
        <w:t>As the Department of Commerce has recognized, companies face “difficulties in complying with the multiplicity of foreign data protection rules and regulations.”</w:t>
      </w:r>
      <w:r w:rsidR="001E7093">
        <w:rPr>
          <w:rStyle w:val="FootnoteReference"/>
          <w:rFonts w:ascii="Times New Roman" w:hAnsi="Times New Roman" w:cs="Times New Roman"/>
          <w:kern w:val="24"/>
          <w:sz w:val="24"/>
          <w:szCs w:val="24"/>
        </w:rPr>
        <w:footnoteReference w:id="60"/>
      </w:r>
    </w:p>
    <w:p w:rsidR="00296FC5" w:rsidRDefault="00050238"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Differing privacy laws also confront business with uncertainty.</w:t>
      </w:r>
      <w:r w:rsidR="00296FC5">
        <w:rPr>
          <w:rFonts w:ascii="Times New Roman" w:hAnsi="Times New Roman" w:cs="Times New Roman"/>
          <w:kern w:val="24"/>
          <w:sz w:val="24"/>
          <w:szCs w:val="24"/>
        </w:rPr>
        <w:t xml:space="preserve"> </w:t>
      </w:r>
      <w:r>
        <w:rPr>
          <w:rFonts w:ascii="Times New Roman" w:hAnsi="Times New Roman" w:cs="Times New Roman"/>
          <w:kern w:val="24"/>
          <w:sz w:val="24"/>
          <w:szCs w:val="24"/>
        </w:rPr>
        <w:t>Given the dynamism of global data flows, companies may find it impossible to predict where, and at what time, they will transfer data across borders and to comply with the relevant laws.</w:t>
      </w:r>
      <w:r w:rsidR="00296FC5">
        <w:rPr>
          <w:rFonts w:ascii="Times New Roman" w:hAnsi="Times New Roman" w:cs="Times New Roman"/>
          <w:kern w:val="24"/>
          <w:sz w:val="24"/>
          <w:szCs w:val="24"/>
        </w:rPr>
        <w:t xml:space="preserve"> </w:t>
      </w:r>
      <w:r w:rsidR="00D776A0">
        <w:rPr>
          <w:rFonts w:ascii="Times New Roman" w:hAnsi="Times New Roman" w:cs="Times New Roman"/>
          <w:kern w:val="24"/>
          <w:sz w:val="24"/>
          <w:szCs w:val="24"/>
        </w:rPr>
        <w:t>In order to engage in such cross-border transfers they will need to face the risk of non-compliance and enforcement.</w:t>
      </w:r>
      <w:r w:rsidR="00296FC5">
        <w:rPr>
          <w:rFonts w:ascii="Times New Roman" w:hAnsi="Times New Roman" w:cs="Times New Roman"/>
          <w:kern w:val="24"/>
          <w:sz w:val="24"/>
          <w:szCs w:val="24"/>
        </w:rPr>
        <w:t xml:space="preserve">  </w:t>
      </w:r>
      <w:r w:rsidR="001763A5">
        <w:rPr>
          <w:rFonts w:ascii="Times New Roman" w:hAnsi="Times New Roman" w:cs="Times New Roman"/>
          <w:kern w:val="24"/>
          <w:sz w:val="24"/>
          <w:szCs w:val="24"/>
        </w:rPr>
        <w:t>In addition, c</w:t>
      </w:r>
      <w:r w:rsidR="00D776A0">
        <w:rPr>
          <w:rFonts w:ascii="Times New Roman" w:hAnsi="Times New Roman" w:cs="Times New Roman"/>
          <w:kern w:val="24"/>
          <w:sz w:val="24"/>
          <w:szCs w:val="24"/>
        </w:rPr>
        <w:t>onflicts between nations and/or regions with respect to the adequacy of their respective privacy laws can raise the prospect of data embargoes.</w:t>
      </w:r>
      <w:r w:rsidR="001763A5">
        <w:rPr>
          <w:rStyle w:val="FootnoteReference"/>
          <w:rFonts w:ascii="Times New Roman" w:hAnsi="Times New Roman" w:cs="Times New Roman"/>
          <w:kern w:val="24"/>
          <w:sz w:val="24"/>
          <w:szCs w:val="24"/>
        </w:rPr>
        <w:footnoteReference w:id="61"/>
      </w:r>
      <w:r w:rsidR="00296FC5">
        <w:rPr>
          <w:rFonts w:ascii="Times New Roman" w:hAnsi="Times New Roman" w:cs="Times New Roman"/>
          <w:kern w:val="24"/>
          <w:sz w:val="24"/>
          <w:szCs w:val="24"/>
        </w:rPr>
        <w:t xml:space="preserve"> </w:t>
      </w:r>
      <w:r w:rsidR="00D776A0">
        <w:rPr>
          <w:rFonts w:ascii="Times New Roman" w:hAnsi="Times New Roman" w:cs="Times New Roman"/>
          <w:kern w:val="24"/>
          <w:sz w:val="24"/>
          <w:szCs w:val="24"/>
        </w:rPr>
        <w:t xml:space="preserve">The European Union </w:t>
      </w:r>
      <w:r w:rsidR="00F507BE">
        <w:rPr>
          <w:rFonts w:ascii="Times New Roman" w:hAnsi="Times New Roman" w:cs="Times New Roman"/>
          <w:kern w:val="24"/>
          <w:sz w:val="24"/>
          <w:szCs w:val="24"/>
        </w:rPr>
        <w:lastRenderedPageBreak/>
        <w:t xml:space="preserve">considers </w:t>
      </w:r>
      <w:r w:rsidR="001C6D99">
        <w:rPr>
          <w:rFonts w:ascii="Times New Roman" w:hAnsi="Times New Roman" w:cs="Times New Roman"/>
          <w:kern w:val="24"/>
          <w:sz w:val="24"/>
          <w:szCs w:val="24"/>
        </w:rPr>
        <w:t>US</w:t>
      </w:r>
      <w:r w:rsidR="00F507BE">
        <w:rPr>
          <w:rFonts w:ascii="Times New Roman" w:hAnsi="Times New Roman" w:cs="Times New Roman"/>
          <w:kern w:val="24"/>
          <w:sz w:val="24"/>
          <w:szCs w:val="24"/>
        </w:rPr>
        <w:t xml:space="preserve"> privacy law inadequate and may limit </w:t>
      </w:r>
      <w:r w:rsidR="00D776A0">
        <w:rPr>
          <w:rFonts w:ascii="Times New Roman" w:hAnsi="Times New Roman" w:cs="Times New Roman"/>
          <w:kern w:val="24"/>
          <w:sz w:val="24"/>
          <w:szCs w:val="24"/>
        </w:rPr>
        <w:t>data transfers to the United States,</w:t>
      </w:r>
      <w:r w:rsidR="00F507BE">
        <w:rPr>
          <w:rStyle w:val="FootnoteReference"/>
          <w:rFonts w:ascii="Times New Roman" w:hAnsi="Times New Roman" w:cs="Times New Roman"/>
          <w:kern w:val="24"/>
          <w:sz w:val="24"/>
          <w:szCs w:val="24"/>
        </w:rPr>
        <w:footnoteReference w:id="62"/>
      </w:r>
      <w:r w:rsidR="00F507BE">
        <w:rPr>
          <w:rFonts w:ascii="Times New Roman" w:hAnsi="Times New Roman" w:cs="Times New Roman"/>
          <w:kern w:val="24"/>
          <w:sz w:val="24"/>
          <w:szCs w:val="24"/>
        </w:rPr>
        <w:t xml:space="preserve"> </w:t>
      </w:r>
      <w:r w:rsidR="00D776A0">
        <w:rPr>
          <w:rFonts w:ascii="Times New Roman" w:hAnsi="Times New Roman" w:cs="Times New Roman"/>
          <w:kern w:val="24"/>
          <w:sz w:val="24"/>
          <w:szCs w:val="24"/>
        </w:rPr>
        <w:t xml:space="preserve">although the relevant governments have managed to avoid this </w:t>
      </w:r>
      <w:r w:rsidR="00F507BE">
        <w:rPr>
          <w:rFonts w:ascii="Times New Roman" w:hAnsi="Times New Roman" w:cs="Times New Roman"/>
          <w:kern w:val="24"/>
          <w:sz w:val="24"/>
          <w:szCs w:val="24"/>
        </w:rPr>
        <w:t xml:space="preserve">so far </w:t>
      </w:r>
      <w:r w:rsidR="00D776A0">
        <w:rPr>
          <w:rFonts w:ascii="Times New Roman" w:hAnsi="Times New Roman" w:cs="Times New Roman"/>
          <w:kern w:val="24"/>
          <w:sz w:val="24"/>
          <w:szCs w:val="24"/>
        </w:rPr>
        <w:t>by means of the Safe Harbor Agreement and other understandings.</w:t>
      </w:r>
      <w:r w:rsidR="001763A5" w:rsidRPr="001763A5">
        <w:rPr>
          <w:rStyle w:val="FootnoteReference"/>
          <w:rFonts w:ascii="Times New Roman" w:hAnsi="Times New Roman" w:cs="Times New Roman"/>
          <w:kern w:val="24"/>
          <w:sz w:val="24"/>
          <w:szCs w:val="24"/>
        </w:rPr>
        <w:t xml:space="preserve"> </w:t>
      </w:r>
      <w:r w:rsidR="00296FC5">
        <w:rPr>
          <w:rFonts w:ascii="Times New Roman" w:hAnsi="Times New Roman" w:cs="Times New Roman"/>
          <w:kern w:val="24"/>
          <w:sz w:val="24"/>
          <w:szCs w:val="24"/>
        </w:rPr>
        <w:t xml:space="preserve"> </w:t>
      </w:r>
      <w:r w:rsidR="00D776A0">
        <w:rPr>
          <w:rFonts w:ascii="Times New Roman" w:hAnsi="Times New Roman" w:cs="Times New Roman"/>
          <w:kern w:val="24"/>
          <w:sz w:val="24"/>
          <w:szCs w:val="24"/>
        </w:rPr>
        <w:t>Still, the prospect of a data embargo creates profound uncertainty for businesses that depend on the free flow of personal data across national borders.</w:t>
      </w:r>
      <w:r w:rsidR="00380877">
        <w:rPr>
          <w:rStyle w:val="FootnoteReference"/>
          <w:rFonts w:ascii="Times New Roman" w:hAnsi="Times New Roman" w:cs="Times New Roman"/>
          <w:kern w:val="24"/>
          <w:sz w:val="24"/>
          <w:szCs w:val="24"/>
        </w:rPr>
        <w:footnoteReference w:id="63"/>
      </w:r>
      <w:r w:rsidR="00296FC5">
        <w:rPr>
          <w:rFonts w:ascii="Times New Roman" w:hAnsi="Times New Roman" w:cs="Times New Roman"/>
          <w:kern w:val="24"/>
          <w:sz w:val="24"/>
          <w:szCs w:val="24"/>
        </w:rPr>
        <w:t xml:space="preserve"> </w:t>
      </w:r>
      <w:r w:rsidR="00565146">
        <w:rPr>
          <w:rFonts w:ascii="Times New Roman" w:hAnsi="Times New Roman" w:cs="Times New Roman"/>
          <w:kern w:val="24"/>
          <w:sz w:val="24"/>
          <w:szCs w:val="24"/>
        </w:rPr>
        <w:t>Such uncertainty c</w:t>
      </w:r>
      <w:r w:rsidR="006B34B0">
        <w:rPr>
          <w:rFonts w:ascii="Times New Roman" w:hAnsi="Times New Roman" w:cs="Times New Roman"/>
          <w:kern w:val="24"/>
          <w:sz w:val="24"/>
          <w:szCs w:val="24"/>
        </w:rPr>
        <w:t xml:space="preserve">an drive up the cost of capital, </w:t>
      </w:r>
      <w:r w:rsidR="00565146">
        <w:rPr>
          <w:rFonts w:ascii="Times New Roman" w:hAnsi="Times New Roman" w:cs="Times New Roman"/>
          <w:kern w:val="24"/>
          <w:sz w:val="24"/>
          <w:szCs w:val="24"/>
        </w:rPr>
        <w:t>in</w:t>
      </w:r>
      <w:r w:rsidR="00B268F1">
        <w:rPr>
          <w:rFonts w:ascii="Times New Roman" w:hAnsi="Times New Roman" w:cs="Times New Roman"/>
          <w:kern w:val="24"/>
          <w:sz w:val="24"/>
          <w:szCs w:val="24"/>
        </w:rPr>
        <w:t>hibit investment and innovation</w:t>
      </w:r>
      <w:r w:rsidR="006B34B0">
        <w:rPr>
          <w:rFonts w:ascii="Times New Roman" w:hAnsi="Times New Roman" w:cs="Times New Roman"/>
          <w:kern w:val="24"/>
          <w:sz w:val="24"/>
          <w:szCs w:val="24"/>
        </w:rPr>
        <w:t>, and cause tension between international allies.</w:t>
      </w:r>
    </w:p>
    <w:p w:rsidR="00296FC5" w:rsidRDefault="00B268F1"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difficulties that </w:t>
      </w:r>
      <w:proofErr w:type="gramStart"/>
      <w:r>
        <w:rPr>
          <w:rFonts w:ascii="Times New Roman" w:hAnsi="Times New Roman" w:cs="Times New Roman"/>
          <w:kern w:val="24"/>
          <w:sz w:val="24"/>
          <w:szCs w:val="24"/>
        </w:rPr>
        <w:t>consumers</w:t>
      </w:r>
      <w:proofErr w:type="gramEnd"/>
      <w:r>
        <w:rPr>
          <w:rFonts w:ascii="Times New Roman" w:hAnsi="Times New Roman" w:cs="Times New Roman"/>
          <w:kern w:val="24"/>
          <w:sz w:val="24"/>
          <w:szCs w:val="24"/>
        </w:rPr>
        <w:t xml:space="preserve"> face, and </w:t>
      </w:r>
      <w:r w:rsidR="00A1711C">
        <w:rPr>
          <w:rFonts w:ascii="Times New Roman" w:hAnsi="Times New Roman" w:cs="Times New Roman"/>
          <w:kern w:val="24"/>
          <w:sz w:val="24"/>
          <w:szCs w:val="24"/>
        </w:rPr>
        <w:t xml:space="preserve">those </w:t>
      </w:r>
      <w:r>
        <w:rPr>
          <w:rFonts w:ascii="Times New Roman" w:hAnsi="Times New Roman" w:cs="Times New Roman"/>
          <w:kern w:val="24"/>
          <w:sz w:val="24"/>
          <w:szCs w:val="24"/>
        </w:rPr>
        <w:t xml:space="preserve">that businesses </w:t>
      </w:r>
      <w:r w:rsidR="00A1711C">
        <w:rPr>
          <w:rFonts w:ascii="Times New Roman" w:hAnsi="Times New Roman" w:cs="Times New Roman"/>
          <w:kern w:val="24"/>
          <w:sz w:val="24"/>
          <w:szCs w:val="24"/>
        </w:rPr>
        <w:t xml:space="preserve">confront, </w:t>
      </w:r>
      <w:r>
        <w:rPr>
          <w:rFonts w:ascii="Times New Roman" w:hAnsi="Times New Roman" w:cs="Times New Roman"/>
          <w:kern w:val="24"/>
          <w:sz w:val="24"/>
          <w:szCs w:val="24"/>
        </w:rPr>
        <w:t>reinforce and build on one another.</w:t>
      </w:r>
      <w:r w:rsidR="00296FC5">
        <w:rPr>
          <w:rFonts w:ascii="Times New Roman" w:hAnsi="Times New Roman" w:cs="Times New Roman"/>
          <w:kern w:val="24"/>
          <w:sz w:val="24"/>
          <w:szCs w:val="24"/>
        </w:rPr>
        <w:t xml:space="preserve"> </w:t>
      </w:r>
      <w:r w:rsidR="00A1711C">
        <w:rPr>
          <w:rFonts w:ascii="Times New Roman" w:hAnsi="Times New Roman" w:cs="Times New Roman"/>
          <w:kern w:val="24"/>
          <w:sz w:val="24"/>
          <w:szCs w:val="24"/>
        </w:rPr>
        <w:t>When consumers lose faith in the law’s ability to protect their personal information this can cause them to pull back from the online environment and from the businesses that are deeply enmeshed in it.  This can, in turn, hurt the companies whose business models depend on a certain level of consumer trust and participation in the Internet economy.</w:t>
      </w:r>
      <w:r w:rsidR="00380877">
        <w:rPr>
          <w:rStyle w:val="FootnoteReference"/>
          <w:rFonts w:ascii="Times New Roman" w:hAnsi="Times New Roman" w:cs="Times New Roman"/>
          <w:kern w:val="24"/>
          <w:sz w:val="24"/>
          <w:szCs w:val="24"/>
        </w:rPr>
        <w:footnoteReference w:id="64"/>
      </w:r>
      <w:r w:rsidR="00296FC5">
        <w:rPr>
          <w:rFonts w:ascii="Times New Roman" w:hAnsi="Times New Roman" w:cs="Times New Roman"/>
          <w:kern w:val="24"/>
          <w:sz w:val="24"/>
          <w:szCs w:val="24"/>
        </w:rPr>
        <w:t xml:space="preserve"> </w:t>
      </w:r>
      <w:r w:rsidR="00A1711C">
        <w:rPr>
          <w:rFonts w:ascii="Times New Roman" w:hAnsi="Times New Roman" w:cs="Times New Roman"/>
          <w:kern w:val="24"/>
          <w:sz w:val="24"/>
          <w:szCs w:val="24"/>
        </w:rPr>
        <w:t>By the same token, companies that</w:t>
      </w:r>
      <w:r w:rsidR="00B4619D">
        <w:rPr>
          <w:rFonts w:ascii="Times New Roman" w:hAnsi="Times New Roman" w:cs="Times New Roman"/>
          <w:kern w:val="24"/>
          <w:sz w:val="24"/>
          <w:szCs w:val="24"/>
        </w:rPr>
        <w:t xml:space="preserve"> face </w:t>
      </w:r>
      <w:r w:rsidR="00A1711C">
        <w:rPr>
          <w:rFonts w:ascii="Times New Roman" w:hAnsi="Times New Roman" w:cs="Times New Roman"/>
          <w:kern w:val="24"/>
          <w:sz w:val="24"/>
          <w:szCs w:val="24"/>
        </w:rPr>
        <w:t xml:space="preserve">increased compliance costs </w:t>
      </w:r>
      <w:r w:rsidR="00B4619D">
        <w:rPr>
          <w:rFonts w:ascii="Times New Roman" w:hAnsi="Times New Roman" w:cs="Times New Roman"/>
          <w:kern w:val="24"/>
          <w:sz w:val="24"/>
          <w:szCs w:val="24"/>
        </w:rPr>
        <w:t xml:space="preserve">and uncertainties </w:t>
      </w:r>
      <w:r w:rsidR="00A1711C">
        <w:rPr>
          <w:rFonts w:ascii="Times New Roman" w:hAnsi="Times New Roman" w:cs="Times New Roman"/>
          <w:kern w:val="24"/>
          <w:sz w:val="24"/>
          <w:szCs w:val="24"/>
        </w:rPr>
        <w:t>are likely to pass these costs on to consumers, insofar as they can.</w:t>
      </w:r>
      <w:r w:rsidR="00296FC5">
        <w:rPr>
          <w:rFonts w:ascii="Times New Roman" w:hAnsi="Times New Roman" w:cs="Times New Roman"/>
          <w:kern w:val="24"/>
          <w:sz w:val="24"/>
          <w:szCs w:val="24"/>
        </w:rPr>
        <w:t xml:space="preserve"> </w:t>
      </w:r>
      <w:r w:rsidR="00A1711C">
        <w:rPr>
          <w:rFonts w:ascii="Times New Roman" w:hAnsi="Times New Roman" w:cs="Times New Roman"/>
          <w:kern w:val="24"/>
          <w:sz w:val="24"/>
          <w:szCs w:val="24"/>
        </w:rPr>
        <w:t>This can lead to higher prices for the goods and services that consumers would like to purchase.</w:t>
      </w:r>
      <w:r w:rsidR="00296FC5">
        <w:rPr>
          <w:rFonts w:ascii="Times New Roman" w:hAnsi="Times New Roman" w:cs="Times New Roman"/>
          <w:kern w:val="24"/>
          <w:sz w:val="24"/>
          <w:szCs w:val="24"/>
        </w:rPr>
        <w:t xml:space="preserve"> </w:t>
      </w:r>
      <w:r w:rsidR="003B18E8">
        <w:rPr>
          <w:rFonts w:ascii="Times New Roman" w:hAnsi="Times New Roman" w:cs="Times New Roman"/>
          <w:kern w:val="24"/>
          <w:sz w:val="24"/>
          <w:szCs w:val="24"/>
        </w:rPr>
        <w:t>Further harmonization of national privacy laws could accordingly result in lower prices for consumers.</w:t>
      </w:r>
      <w:r w:rsidR="003B18E8">
        <w:rPr>
          <w:rStyle w:val="FootnoteReference"/>
          <w:rFonts w:ascii="Times New Roman" w:hAnsi="Times New Roman" w:cs="Times New Roman"/>
          <w:kern w:val="24"/>
          <w:sz w:val="24"/>
          <w:szCs w:val="24"/>
        </w:rPr>
        <w:footnoteReference w:id="65"/>
      </w:r>
      <w:r w:rsidR="005A76C8">
        <w:rPr>
          <w:rFonts w:ascii="Times New Roman" w:hAnsi="Times New Roman" w:cs="Times New Roman"/>
          <w:kern w:val="24"/>
          <w:sz w:val="24"/>
          <w:szCs w:val="24"/>
        </w:rPr>
        <w:t xml:space="preserve"> </w:t>
      </w:r>
    </w:p>
    <w:p w:rsidR="005A76C8" w:rsidRDefault="002A2E56"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For </w:t>
      </w:r>
      <w:r w:rsidR="00855B2D">
        <w:rPr>
          <w:rFonts w:ascii="Times New Roman" w:hAnsi="Times New Roman" w:cs="Times New Roman"/>
          <w:kern w:val="24"/>
          <w:sz w:val="24"/>
          <w:szCs w:val="24"/>
        </w:rPr>
        <w:t>all of the above</w:t>
      </w:r>
      <w:r>
        <w:rPr>
          <w:rFonts w:ascii="Times New Roman" w:hAnsi="Times New Roman" w:cs="Times New Roman"/>
          <w:kern w:val="24"/>
          <w:sz w:val="24"/>
          <w:szCs w:val="24"/>
        </w:rPr>
        <w:t xml:space="preserve"> reasons the </w:t>
      </w:r>
      <w:r w:rsidR="005A76C8">
        <w:rPr>
          <w:rFonts w:ascii="Times New Roman" w:hAnsi="Times New Roman" w:cs="Times New Roman"/>
          <w:kern w:val="24"/>
          <w:sz w:val="24"/>
          <w:szCs w:val="24"/>
        </w:rPr>
        <w:t xml:space="preserve">jumble of </w:t>
      </w:r>
      <w:r w:rsidR="00855B2D">
        <w:rPr>
          <w:rFonts w:ascii="Times New Roman" w:hAnsi="Times New Roman" w:cs="Times New Roman"/>
          <w:kern w:val="24"/>
          <w:sz w:val="24"/>
          <w:szCs w:val="24"/>
        </w:rPr>
        <w:t xml:space="preserve">inconsistent </w:t>
      </w:r>
      <w:r w:rsidR="005A76C8">
        <w:rPr>
          <w:rFonts w:ascii="Times New Roman" w:hAnsi="Times New Roman" w:cs="Times New Roman"/>
          <w:kern w:val="24"/>
          <w:sz w:val="24"/>
          <w:szCs w:val="24"/>
        </w:rPr>
        <w:t xml:space="preserve">national privacy laws </w:t>
      </w:r>
      <w:r>
        <w:rPr>
          <w:rFonts w:ascii="Times New Roman" w:hAnsi="Times New Roman" w:cs="Times New Roman"/>
          <w:kern w:val="24"/>
          <w:sz w:val="24"/>
          <w:szCs w:val="24"/>
        </w:rPr>
        <w:t xml:space="preserve">conflicts with the contemporary trend towards increasingly global data flows, and so </w:t>
      </w:r>
      <w:r w:rsidR="005A76C8">
        <w:rPr>
          <w:rFonts w:ascii="Times New Roman" w:hAnsi="Times New Roman" w:cs="Times New Roman"/>
          <w:kern w:val="24"/>
          <w:sz w:val="24"/>
          <w:szCs w:val="24"/>
        </w:rPr>
        <w:t>poses a challenge to the continued growth and vibrancy of the Internet</w:t>
      </w:r>
      <w:r w:rsidR="00855B2D">
        <w:rPr>
          <w:rFonts w:ascii="Times New Roman" w:hAnsi="Times New Roman" w:cs="Times New Roman"/>
          <w:kern w:val="24"/>
          <w:sz w:val="24"/>
          <w:szCs w:val="24"/>
        </w:rPr>
        <w:t xml:space="preserve"> and of the global economy</w:t>
      </w:r>
      <w:r w:rsidR="005A76C8">
        <w:rPr>
          <w:rFonts w:ascii="Times New Roman" w:hAnsi="Times New Roman" w:cs="Times New Roman"/>
          <w:kern w:val="24"/>
          <w:sz w:val="24"/>
          <w:szCs w:val="24"/>
        </w:rPr>
        <w:t>.</w:t>
      </w:r>
      <w:r w:rsidR="005A76C8">
        <w:rPr>
          <w:rStyle w:val="FootnoteReference"/>
          <w:rFonts w:ascii="Times New Roman" w:hAnsi="Times New Roman" w:cs="Times New Roman"/>
          <w:kern w:val="24"/>
          <w:sz w:val="24"/>
          <w:szCs w:val="24"/>
        </w:rPr>
        <w:footnoteReference w:id="66"/>
      </w:r>
      <w:r w:rsidR="00296FC5">
        <w:rPr>
          <w:rFonts w:ascii="Times New Roman" w:hAnsi="Times New Roman" w:cs="Times New Roman"/>
          <w:kern w:val="24"/>
          <w:sz w:val="24"/>
          <w:szCs w:val="24"/>
        </w:rPr>
        <w:t xml:space="preserve"> </w:t>
      </w:r>
      <w:r w:rsidR="00B4619D">
        <w:rPr>
          <w:rFonts w:ascii="Times New Roman" w:hAnsi="Times New Roman" w:cs="Times New Roman"/>
          <w:kern w:val="24"/>
          <w:sz w:val="24"/>
          <w:szCs w:val="24"/>
        </w:rPr>
        <w:t xml:space="preserve">The emergence </w:t>
      </w:r>
      <w:r w:rsidR="00B4619D">
        <w:rPr>
          <w:rFonts w:ascii="Times New Roman" w:hAnsi="Times New Roman" w:cs="Times New Roman"/>
          <w:kern w:val="24"/>
          <w:sz w:val="24"/>
          <w:szCs w:val="24"/>
        </w:rPr>
        <w:lastRenderedPageBreak/>
        <w:t xml:space="preserve">of a </w:t>
      </w:r>
      <w:r w:rsidR="005A76C8">
        <w:rPr>
          <w:rFonts w:ascii="Times New Roman" w:hAnsi="Times New Roman" w:cs="Times New Roman"/>
          <w:kern w:val="24"/>
          <w:sz w:val="24"/>
          <w:szCs w:val="24"/>
        </w:rPr>
        <w:t>unified</w:t>
      </w:r>
      <w:r w:rsidR="00B4619D">
        <w:rPr>
          <w:rFonts w:ascii="Times New Roman" w:hAnsi="Times New Roman" w:cs="Times New Roman"/>
          <w:kern w:val="24"/>
          <w:sz w:val="24"/>
          <w:szCs w:val="24"/>
        </w:rPr>
        <w:t xml:space="preserve"> set of privacy rules</w:t>
      </w:r>
      <w:r w:rsidR="005A76C8">
        <w:rPr>
          <w:rFonts w:ascii="Times New Roman" w:hAnsi="Times New Roman" w:cs="Times New Roman"/>
          <w:kern w:val="24"/>
          <w:sz w:val="24"/>
          <w:szCs w:val="24"/>
        </w:rPr>
        <w:t xml:space="preserve">, on the other hand, would </w:t>
      </w:r>
      <w:r w:rsidR="00855B2D">
        <w:rPr>
          <w:rFonts w:ascii="Times New Roman" w:hAnsi="Times New Roman" w:cs="Times New Roman"/>
          <w:kern w:val="24"/>
          <w:sz w:val="24"/>
          <w:szCs w:val="24"/>
        </w:rPr>
        <w:t xml:space="preserve">diffuse this threat and provide </w:t>
      </w:r>
      <w:r w:rsidR="005A76C8">
        <w:rPr>
          <w:rFonts w:ascii="Times New Roman" w:hAnsi="Times New Roman" w:cs="Times New Roman"/>
          <w:kern w:val="24"/>
          <w:sz w:val="24"/>
          <w:szCs w:val="24"/>
        </w:rPr>
        <w:t xml:space="preserve">benefits </w:t>
      </w:r>
      <w:r w:rsidR="003102F1">
        <w:rPr>
          <w:rFonts w:ascii="Times New Roman" w:hAnsi="Times New Roman" w:cs="Times New Roman"/>
          <w:kern w:val="24"/>
          <w:sz w:val="24"/>
          <w:szCs w:val="24"/>
        </w:rPr>
        <w:t xml:space="preserve">both </w:t>
      </w:r>
      <w:r w:rsidR="00855B2D">
        <w:rPr>
          <w:rFonts w:ascii="Times New Roman" w:hAnsi="Times New Roman" w:cs="Times New Roman"/>
          <w:kern w:val="24"/>
          <w:sz w:val="24"/>
          <w:szCs w:val="24"/>
        </w:rPr>
        <w:t xml:space="preserve">to </w:t>
      </w:r>
      <w:r w:rsidR="003102F1">
        <w:rPr>
          <w:rFonts w:ascii="Times New Roman" w:hAnsi="Times New Roman" w:cs="Times New Roman"/>
          <w:kern w:val="24"/>
          <w:sz w:val="24"/>
          <w:szCs w:val="24"/>
        </w:rPr>
        <w:t xml:space="preserve">consumers and </w:t>
      </w:r>
      <w:r w:rsidR="00855B2D">
        <w:rPr>
          <w:rFonts w:ascii="Times New Roman" w:hAnsi="Times New Roman" w:cs="Times New Roman"/>
          <w:kern w:val="24"/>
          <w:sz w:val="24"/>
          <w:szCs w:val="24"/>
        </w:rPr>
        <w:t xml:space="preserve">to </w:t>
      </w:r>
      <w:r w:rsidR="003102F1">
        <w:rPr>
          <w:rFonts w:ascii="Times New Roman" w:hAnsi="Times New Roman" w:cs="Times New Roman"/>
          <w:kern w:val="24"/>
          <w:sz w:val="24"/>
          <w:szCs w:val="24"/>
        </w:rPr>
        <w:t>industry.</w:t>
      </w:r>
      <w:r w:rsidR="001573CD">
        <w:rPr>
          <w:rStyle w:val="FootnoteReference"/>
          <w:rFonts w:ascii="Times New Roman" w:hAnsi="Times New Roman" w:cs="Times New Roman"/>
          <w:kern w:val="24"/>
          <w:sz w:val="24"/>
          <w:szCs w:val="24"/>
        </w:rPr>
        <w:footnoteReference w:id="67"/>
      </w:r>
      <w:r w:rsidR="00296FC5">
        <w:rPr>
          <w:rFonts w:ascii="Times New Roman" w:hAnsi="Times New Roman" w:cs="Times New Roman"/>
          <w:kern w:val="24"/>
          <w:sz w:val="24"/>
          <w:szCs w:val="24"/>
        </w:rPr>
        <w:t xml:space="preserve"> </w:t>
      </w:r>
      <w:r w:rsidR="00E4174D">
        <w:rPr>
          <w:rFonts w:ascii="Times New Roman" w:hAnsi="Times New Roman" w:cs="Times New Roman"/>
          <w:kern w:val="24"/>
          <w:sz w:val="24"/>
          <w:szCs w:val="24"/>
        </w:rPr>
        <w:t xml:space="preserve">The Department of Commerce has called </w:t>
      </w:r>
      <w:r w:rsidR="00E4174D" w:rsidRPr="00E4174D">
        <w:rPr>
          <w:rFonts w:ascii="Times New Roman" w:hAnsi="Times New Roman" w:cs="Times New Roman"/>
          <w:kern w:val="24"/>
          <w:sz w:val="24"/>
          <w:szCs w:val="24"/>
        </w:rPr>
        <w:t xml:space="preserve">for </w:t>
      </w:r>
      <w:r w:rsidR="00E4174D">
        <w:rPr>
          <w:rFonts w:ascii="Times New Roman" w:hAnsi="Times New Roman" w:cs="Times New Roman"/>
          <w:kern w:val="24"/>
          <w:sz w:val="24"/>
          <w:szCs w:val="24"/>
        </w:rPr>
        <w:t xml:space="preserve">“a new global </w:t>
      </w:r>
      <w:r w:rsidR="00E4174D" w:rsidRPr="00E4174D">
        <w:rPr>
          <w:rFonts w:ascii="Times New Roman" w:hAnsi="Times New Roman" w:cs="Times New Roman"/>
          <w:kern w:val="24"/>
          <w:sz w:val="24"/>
          <w:szCs w:val="24"/>
        </w:rPr>
        <w:t>framework for privacy protection that will decrease the cost of doing business globally, provide consumers with consistent levels of protection worldwide, and contribute to global economic growth.”</w:t>
      </w:r>
      <w:r w:rsidR="00E4174D" w:rsidRPr="00E4174D">
        <w:rPr>
          <w:rStyle w:val="FootnoteReference"/>
          <w:rFonts w:ascii="Times New Roman" w:hAnsi="Times New Roman" w:cs="Times New Roman"/>
          <w:kern w:val="24"/>
          <w:sz w:val="24"/>
          <w:szCs w:val="24"/>
        </w:rPr>
        <w:t xml:space="preserve"> </w:t>
      </w:r>
      <w:r w:rsidR="00E4174D">
        <w:rPr>
          <w:rStyle w:val="FootnoteReference"/>
          <w:rFonts w:ascii="Times New Roman" w:hAnsi="Times New Roman" w:cs="Times New Roman"/>
          <w:kern w:val="24"/>
          <w:sz w:val="24"/>
          <w:szCs w:val="24"/>
        </w:rPr>
        <w:footnoteReference w:id="68"/>
      </w:r>
      <w:r w:rsidR="00296FC5">
        <w:rPr>
          <w:rFonts w:ascii="Times New Roman" w:hAnsi="Times New Roman" w:cs="Times New Roman"/>
          <w:kern w:val="24"/>
          <w:sz w:val="24"/>
          <w:szCs w:val="24"/>
        </w:rPr>
        <w:t xml:space="preserve"> </w:t>
      </w:r>
      <w:r w:rsidR="005A76C8">
        <w:rPr>
          <w:rFonts w:ascii="Times New Roman" w:hAnsi="Times New Roman" w:cs="Times New Roman"/>
          <w:kern w:val="24"/>
          <w:sz w:val="24"/>
          <w:szCs w:val="24"/>
        </w:rPr>
        <w:t xml:space="preserve">The </w:t>
      </w:r>
      <w:r w:rsidR="00855B2D">
        <w:rPr>
          <w:rFonts w:ascii="Times New Roman" w:hAnsi="Times New Roman" w:cs="Times New Roman"/>
          <w:kern w:val="24"/>
          <w:sz w:val="24"/>
          <w:szCs w:val="24"/>
        </w:rPr>
        <w:t xml:space="preserve">question is: how to achieve </w:t>
      </w:r>
      <w:r w:rsidR="003B18E8">
        <w:rPr>
          <w:rFonts w:ascii="Times New Roman" w:hAnsi="Times New Roman" w:cs="Times New Roman"/>
          <w:kern w:val="24"/>
          <w:sz w:val="24"/>
          <w:szCs w:val="24"/>
        </w:rPr>
        <w:t>this</w:t>
      </w:r>
      <w:r w:rsidR="005A76C8">
        <w:rPr>
          <w:rFonts w:ascii="Times New Roman" w:hAnsi="Times New Roman" w:cs="Times New Roman"/>
          <w:kern w:val="24"/>
          <w:sz w:val="24"/>
          <w:szCs w:val="24"/>
        </w:rPr>
        <w:t>?</w:t>
      </w:r>
    </w:p>
    <w:p w:rsidR="00933F75" w:rsidRDefault="00933F75" w:rsidP="001610E3">
      <w:pPr>
        <w:autoSpaceDE w:val="0"/>
        <w:autoSpaceDN w:val="0"/>
        <w:adjustRightInd w:val="0"/>
        <w:spacing w:after="0" w:line="480" w:lineRule="auto"/>
        <w:rPr>
          <w:rFonts w:ascii="Times New Roman" w:hAnsi="Times New Roman" w:cs="Times New Roman"/>
          <w:kern w:val="24"/>
          <w:sz w:val="24"/>
          <w:szCs w:val="24"/>
        </w:rPr>
      </w:pPr>
    </w:p>
    <w:p w:rsidR="00A37A88" w:rsidRPr="001610E3" w:rsidRDefault="00B86E92" w:rsidP="001610E3">
      <w:pPr>
        <w:autoSpaceDE w:val="0"/>
        <w:autoSpaceDN w:val="0"/>
        <w:adjustRightInd w:val="0"/>
        <w:spacing w:after="0" w:line="480" w:lineRule="auto"/>
        <w:rPr>
          <w:rFonts w:ascii="Times New Roman" w:hAnsi="Times New Roman" w:cs="Times New Roman"/>
          <w:b/>
          <w:kern w:val="24"/>
          <w:sz w:val="24"/>
          <w:szCs w:val="24"/>
        </w:rPr>
      </w:pPr>
      <w:r w:rsidRPr="00B86E92">
        <w:rPr>
          <w:rFonts w:ascii="Times New Roman" w:hAnsi="Times New Roman" w:cs="Times New Roman"/>
          <w:b/>
          <w:kern w:val="24"/>
          <w:sz w:val="24"/>
          <w:szCs w:val="24"/>
        </w:rPr>
        <w:t>II</w:t>
      </w:r>
      <w:proofErr w:type="gramStart"/>
      <w:r w:rsidRPr="00B86E92">
        <w:rPr>
          <w:rFonts w:ascii="Times New Roman" w:hAnsi="Times New Roman" w:cs="Times New Roman"/>
          <w:b/>
          <w:kern w:val="24"/>
          <w:sz w:val="24"/>
          <w:szCs w:val="24"/>
        </w:rPr>
        <w:t>.  Regulatory</w:t>
      </w:r>
      <w:proofErr w:type="gramEnd"/>
      <w:r w:rsidRPr="00B86E92">
        <w:rPr>
          <w:rFonts w:ascii="Times New Roman" w:hAnsi="Times New Roman" w:cs="Times New Roman"/>
          <w:b/>
          <w:kern w:val="24"/>
          <w:sz w:val="24"/>
          <w:szCs w:val="24"/>
        </w:rPr>
        <w:t xml:space="preserve"> Options</w:t>
      </w:r>
    </w:p>
    <w:p w:rsidR="00786D7B" w:rsidRDefault="00213ACE" w:rsidP="001610E3">
      <w:pPr>
        <w:autoSpaceDE w:val="0"/>
        <w:autoSpaceDN w:val="0"/>
        <w:adjustRightInd w:val="0"/>
        <w:spacing w:after="0" w:line="480" w:lineRule="auto"/>
        <w:ind w:firstLine="720"/>
        <w:rPr>
          <w:rFonts w:ascii="Times New Roman" w:hAnsi="Times New Roman" w:cs="Times New Roman"/>
          <w:kern w:val="24"/>
          <w:sz w:val="24"/>
          <w:szCs w:val="24"/>
        </w:rPr>
      </w:pPr>
      <w:r w:rsidRPr="00354D0F">
        <w:rPr>
          <w:rFonts w:ascii="Times New Roman" w:hAnsi="Times New Roman" w:cs="Times New Roman"/>
          <w:kern w:val="24"/>
          <w:sz w:val="24"/>
          <w:szCs w:val="24"/>
        </w:rPr>
        <w:t xml:space="preserve">Regulatory theory </w:t>
      </w:r>
      <w:r w:rsidR="00A9544F">
        <w:rPr>
          <w:rFonts w:ascii="Times New Roman" w:hAnsi="Times New Roman" w:cs="Times New Roman"/>
          <w:kern w:val="24"/>
          <w:sz w:val="24"/>
          <w:szCs w:val="24"/>
        </w:rPr>
        <w:t xml:space="preserve">identifies </w:t>
      </w:r>
      <w:r w:rsidR="004F11FE" w:rsidRPr="00354D0F">
        <w:rPr>
          <w:rFonts w:ascii="Times New Roman" w:hAnsi="Times New Roman" w:cs="Times New Roman"/>
          <w:kern w:val="24"/>
          <w:sz w:val="24"/>
          <w:szCs w:val="24"/>
        </w:rPr>
        <w:t xml:space="preserve">three basic </w:t>
      </w:r>
      <w:r w:rsidRPr="00354D0F">
        <w:rPr>
          <w:rFonts w:ascii="Times New Roman" w:hAnsi="Times New Roman" w:cs="Times New Roman"/>
          <w:kern w:val="24"/>
          <w:sz w:val="24"/>
          <w:szCs w:val="24"/>
        </w:rPr>
        <w:t>types of regulation: direct</w:t>
      </w:r>
      <w:r w:rsidR="004F11FE" w:rsidRPr="00354D0F">
        <w:rPr>
          <w:rFonts w:ascii="Times New Roman" w:hAnsi="Times New Roman" w:cs="Times New Roman"/>
          <w:kern w:val="24"/>
          <w:sz w:val="24"/>
          <w:szCs w:val="24"/>
        </w:rPr>
        <w:t xml:space="preserve"> regulation, self-regulation, and co-regulation.</w:t>
      </w:r>
      <w:r w:rsidR="00920A8C">
        <w:rPr>
          <w:rStyle w:val="FootnoteReference"/>
          <w:rFonts w:ascii="Times New Roman" w:hAnsi="Times New Roman" w:cs="Times New Roman"/>
          <w:kern w:val="24"/>
          <w:sz w:val="24"/>
          <w:szCs w:val="24"/>
        </w:rPr>
        <w:footnoteReference w:id="69"/>
      </w:r>
      <w:r w:rsidR="004F11FE" w:rsidRPr="00354D0F">
        <w:rPr>
          <w:rFonts w:ascii="Times New Roman" w:hAnsi="Times New Roman" w:cs="Times New Roman"/>
          <w:kern w:val="24"/>
          <w:sz w:val="24"/>
          <w:szCs w:val="24"/>
        </w:rPr>
        <w:t xml:space="preserve"> </w:t>
      </w:r>
      <w:r w:rsidR="004F11FE">
        <w:rPr>
          <w:rFonts w:ascii="Times New Roman" w:hAnsi="Times New Roman" w:cs="Times New Roman"/>
          <w:kern w:val="24"/>
          <w:sz w:val="24"/>
          <w:szCs w:val="24"/>
        </w:rPr>
        <w:t xml:space="preserve">In direct regulation, government </w:t>
      </w:r>
      <w:r w:rsidR="00354D0F">
        <w:rPr>
          <w:rFonts w:ascii="Times New Roman" w:hAnsi="Times New Roman" w:cs="Times New Roman"/>
          <w:kern w:val="24"/>
          <w:sz w:val="24"/>
          <w:szCs w:val="24"/>
        </w:rPr>
        <w:t xml:space="preserve">creates </w:t>
      </w:r>
      <w:r w:rsidR="00A9544F">
        <w:rPr>
          <w:rFonts w:ascii="Times New Roman" w:hAnsi="Times New Roman" w:cs="Times New Roman"/>
          <w:kern w:val="24"/>
          <w:sz w:val="24"/>
          <w:szCs w:val="24"/>
        </w:rPr>
        <w:t xml:space="preserve">rules, </w:t>
      </w:r>
      <w:r w:rsidR="00354D0F">
        <w:rPr>
          <w:rFonts w:ascii="Times New Roman" w:hAnsi="Times New Roman" w:cs="Times New Roman"/>
          <w:kern w:val="24"/>
          <w:sz w:val="24"/>
          <w:szCs w:val="24"/>
        </w:rPr>
        <w:t xml:space="preserve">monitors compliance with </w:t>
      </w:r>
      <w:r w:rsidR="00B86E92">
        <w:rPr>
          <w:rFonts w:ascii="Times New Roman" w:hAnsi="Times New Roman" w:cs="Times New Roman"/>
          <w:kern w:val="24"/>
          <w:sz w:val="24"/>
          <w:szCs w:val="24"/>
        </w:rPr>
        <w:t>them, and enforces them.</w:t>
      </w:r>
      <w:r w:rsidR="00F71952">
        <w:rPr>
          <w:rStyle w:val="FootnoteReference"/>
          <w:rFonts w:ascii="Times New Roman" w:hAnsi="Times New Roman" w:cs="Times New Roman"/>
          <w:kern w:val="24"/>
          <w:sz w:val="24"/>
          <w:szCs w:val="24"/>
        </w:rPr>
        <w:footnoteReference w:id="70"/>
      </w:r>
      <w:r w:rsidR="00B86E92">
        <w:rPr>
          <w:rFonts w:ascii="Times New Roman" w:hAnsi="Times New Roman" w:cs="Times New Roman"/>
          <w:kern w:val="24"/>
          <w:sz w:val="24"/>
          <w:szCs w:val="24"/>
        </w:rPr>
        <w:t xml:space="preserve"> </w:t>
      </w:r>
      <w:r w:rsidR="00354D0F">
        <w:rPr>
          <w:rFonts w:ascii="Times New Roman" w:hAnsi="Times New Roman" w:cs="Times New Roman"/>
          <w:kern w:val="24"/>
          <w:sz w:val="24"/>
          <w:szCs w:val="24"/>
        </w:rPr>
        <w:t>In self-regulation, industry takes on these roles</w:t>
      </w:r>
      <w:r w:rsidR="00881E5B">
        <w:rPr>
          <w:rFonts w:ascii="Times New Roman" w:hAnsi="Times New Roman" w:cs="Times New Roman"/>
          <w:kern w:val="24"/>
          <w:sz w:val="24"/>
          <w:szCs w:val="24"/>
        </w:rPr>
        <w:t>.</w:t>
      </w:r>
      <w:r w:rsidR="00881E5B">
        <w:rPr>
          <w:rStyle w:val="FootnoteReference"/>
          <w:rFonts w:ascii="Times New Roman" w:hAnsi="Times New Roman" w:cs="Times New Roman"/>
          <w:kern w:val="24"/>
          <w:sz w:val="24"/>
          <w:szCs w:val="24"/>
        </w:rPr>
        <w:footnoteReference w:id="71"/>
      </w:r>
      <w:r w:rsidR="00354D0F">
        <w:rPr>
          <w:rFonts w:ascii="Times New Roman" w:hAnsi="Times New Roman" w:cs="Times New Roman"/>
          <w:kern w:val="24"/>
          <w:sz w:val="24"/>
          <w:szCs w:val="24"/>
        </w:rPr>
        <w:t xml:space="preserve">  It writes </w:t>
      </w:r>
      <w:r w:rsidR="00A9544F">
        <w:rPr>
          <w:rFonts w:ascii="Times New Roman" w:hAnsi="Times New Roman" w:cs="Times New Roman"/>
          <w:kern w:val="24"/>
          <w:sz w:val="24"/>
          <w:szCs w:val="24"/>
        </w:rPr>
        <w:t xml:space="preserve">its own rules; monitors company compliance with them; and sanctions those industry members that </w:t>
      </w:r>
      <w:r w:rsidR="00354D0F">
        <w:rPr>
          <w:rFonts w:ascii="Times New Roman" w:hAnsi="Times New Roman" w:cs="Times New Roman"/>
          <w:kern w:val="24"/>
          <w:sz w:val="24"/>
          <w:szCs w:val="24"/>
        </w:rPr>
        <w:t>fail to comply.</w:t>
      </w:r>
      <w:r w:rsidR="00B86E92">
        <w:rPr>
          <w:rFonts w:ascii="Times New Roman" w:hAnsi="Times New Roman" w:cs="Times New Roman"/>
          <w:kern w:val="24"/>
          <w:sz w:val="24"/>
          <w:szCs w:val="24"/>
        </w:rPr>
        <w:t xml:space="preserve"> </w:t>
      </w:r>
      <w:r w:rsidR="00354D0F">
        <w:rPr>
          <w:rFonts w:ascii="Times New Roman" w:hAnsi="Times New Roman" w:cs="Times New Roman"/>
          <w:kern w:val="24"/>
          <w:sz w:val="24"/>
          <w:szCs w:val="24"/>
        </w:rPr>
        <w:t>Co-regulation stands in between direct and self-regulation.</w:t>
      </w:r>
      <w:r w:rsidR="00B86E92">
        <w:rPr>
          <w:rFonts w:ascii="Times New Roman" w:hAnsi="Times New Roman" w:cs="Times New Roman"/>
          <w:kern w:val="24"/>
          <w:sz w:val="24"/>
          <w:szCs w:val="24"/>
        </w:rPr>
        <w:t xml:space="preserve"> </w:t>
      </w:r>
      <w:r w:rsidR="00354D0F">
        <w:rPr>
          <w:rFonts w:ascii="Times New Roman" w:hAnsi="Times New Roman" w:cs="Times New Roman"/>
          <w:kern w:val="24"/>
          <w:sz w:val="24"/>
          <w:szCs w:val="24"/>
        </w:rPr>
        <w:t xml:space="preserve">It encompasses those initiatives in which government and industry expressly and intentionally share responsibility for </w:t>
      </w:r>
      <w:r w:rsidR="00A9544F">
        <w:rPr>
          <w:rFonts w:ascii="Times New Roman" w:hAnsi="Times New Roman" w:cs="Times New Roman"/>
          <w:kern w:val="24"/>
          <w:sz w:val="24"/>
          <w:szCs w:val="24"/>
        </w:rPr>
        <w:t>the drafting, monitoring, and</w:t>
      </w:r>
      <w:r w:rsidR="00C54185">
        <w:rPr>
          <w:rFonts w:ascii="Times New Roman" w:hAnsi="Times New Roman" w:cs="Times New Roman"/>
          <w:kern w:val="24"/>
          <w:sz w:val="24"/>
          <w:szCs w:val="24"/>
        </w:rPr>
        <w:t>/or</w:t>
      </w:r>
      <w:r w:rsidR="00A9544F">
        <w:rPr>
          <w:rFonts w:ascii="Times New Roman" w:hAnsi="Times New Roman" w:cs="Times New Roman"/>
          <w:kern w:val="24"/>
          <w:sz w:val="24"/>
          <w:szCs w:val="24"/>
        </w:rPr>
        <w:t xml:space="preserve"> enforcing of rules.</w:t>
      </w:r>
      <w:r w:rsidR="009772B6">
        <w:rPr>
          <w:rStyle w:val="FootnoteReference"/>
          <w:rFonts w:ascii="Times New Roman" w:hAnsi="Times New Roman" w:cs="Times New Roman"/>
          <w:kern w:val="24"/>
          <w:sz w:val="24"/>
          <w:szCs w:val="24"/>
        </w:rPr>
        <w:footnoteReference w:id="72"/>
      </w:r>
      <w:r w:rsidR="00B86E92">
        <w:rPr>
          <w:rFonts w:ascii="Times New Roman" w:hAnsi="Times New Roman" w:cs="Times New Roman"/>
          <w:kern w:val="24"/>
          <w:sz w:val="24"/>
          <w:szCs w:val="24"/>
        </w:rPr>
        <w:t xml:space="preserve"> </w:t>
      </w:r>
      <w:r w:rsidR="00B45157">
        <w:rPr>
          <w:rFonts w:ascii="Times New Roman" w:hAnsi="Times New Roman" w:cs="Times New Roman"/>
          <w:kern w:val="24"/>
          <w:sz w:val="24"/>
          <w:szCs w:val="24"/>
        </w:rPr>
        <w:t>Enforceable codes of conduct--</w:t>
      </w:r>
      <w:r w:rsidR="00682BAC">
        <w:rPr>
          <w:rFonts w:ascii="Times New Roman" w:hAnsi="Times New Roman" w:cs="Times New Roman"/>
          <w:kern w:val="24"/>
          <w:sz w:val="24"/>
          <w:szCs w:val="24"/>
        </w:rPr>
        <w:t>in which gov</w:t>
      </w:r>
      <w:r w:rsidR="00B45157">
        <w:rPr>
          <w:rFonts w:ascii="Times New Roman" w:hAnsi="Times New Roman" w:cs="Times New Roman"/>
          <w:kern w:val="24"/>
          <w:sz w:val="24"/>
          <w:szCs w:val="24"/>
        </w:rPr>
        <w:t>ernment provides the broad requirements</w:t>
      </w:r>
      <w:r w:rsidR="00682BAC">
        <w:rPr>
          <w:rFonts w:ascii="Times New Roman" w:hAnsi="Times New Roman" w:cs="Times New Roman"/>
          <w:kern w:val="24"/>
          <w:sz w:val="24"/>
          <w:szCs w:val="24"/>
        </w:rPr>
        <w:t>, companies draft code</w:t>
      </w:r>
      <w:r w:rsidR="00B45157">
        <w:rPr>
          <w:rFonts w:ascii="Times New Roman" w:hAnsi="Times New Roman" w:cs="Times New Roman"/>
          <w:kern w:val="24"/>
          <w:sz w:val="24"/>
          <w:szCs w:val="24"/>
        </w:rPr>
        <w:t xml:space="preserve">s that </w:t>
      </w:r>
      <w:r w:rsidR="00B45157">
        <w:rPr>
          <w:rFonts w:ascii="Times New Roman" w:hAnsi="Times New Roman" w:cs="Times New Roman"/>
          <w:kern w:val="24"/>
          <w:sz w:val="24"/>
          <w:szCs w:val="24"/>
        </w:rPr>
        <w:lastRenderedPageBreak/>
        <w:t>fle</w:t>
      </w:r>
      <w:r w:rsidR="00D5574C">
        <w:rPr>
          <w:rFonts w:ascii="Times New Roman" w:hAnsi="Times New Roman" w:cs="Times New Roman"/>
          <w:kern w:val="24"/>
          <w:sz w:val="24"/>
          <w:szCs w:val="24"/>
        </w:rPr>
        <w:t>sh out and implement this framework</w:t>
      </w:r>
      <w:r w:rsidR="00682BAC">
        <w:rPr>
          <w:rFonts w:ascii="Times New Roman" w:hAnsi="Times New Roman" w:cs="Times New Roman"/>
          <w:kern w:val="24"/>
          <w:sz w:val="24"/>
          <w:szCs w:val="24"/>
        </w:rPr>
        <w:t xml:space="preserve">, and </w:t>
      </w:r>
      <w:r w:rsidR="00B45157">
        <w:rPr>
          <w:rFonts w:ascii="Times New Roman" w:hAnsi="Times New Roman" w:cs="Times New Roman"/>
          <w:kern w:val="24"/>
          <w:sz w:val="24"/>
          <w:szCs w:val="24"/>
        </w:rPr>
        <w:t xml:space="preserve">regulators </w:t>
      </w:r>
      <w:r w:rsidR="00D5574C">
        <w:rPr>
          <w:rFonts w:ascii="Times New Roman" w:hAnsi="Times New Roman" w:cs="Times New Roman"/>
          <w:kern w:val="24"/>
          <w:sz w:val="24"/>
          <w:szCs w:val="24"/>
        </w:rPr>
        <w:t xml:space="preserve">assess </w:t>
      </w:r>
      <w:r w:rsidR="00B45157">
        <w:rPr>
          <w:rFonts w:ascii="Times New Roman" w:hAnsi="Times New Roman" w:cs="Times New Roman"/>
          <w:kern w:val="24"/>
          <w:sz w:val="24"/>
          <w:szCs w:val="24"/>
        </w:rPr>
        <w:t xml:space="preserve">whether the </w:t>
      </w:r>
      <w:r w:rsidR="00682BAC">
        <w:rPr>
          <w:rFonts w:ascii="Times New Roman" w:hAnsi="Times New Roman" w:cs="Times New Roman"/>
          <w:kern w:val="24"/>
          <w:sz w:val="24"/>
          <w:szCs w:val="24"/>
        </w:rPr>
        <w:t>code</w:t>
      </w:r>
      <w:r w:rsidR="00B45157">
        <w:rPr>
          <w:rFonts w:ascii="Times New Roman" w:hAnsi="Times New Roman" w:cs="Times New Roman"/>
          <w:kern w:val="24"/>
          <w:sz w:val="24"/>
          <w:szCs w:val="24"/>
        </w:rPr>
        <w:t xml:space="preserve"> properly interprets the government requirements—</w:t>
      </w:r>
      <w:r w:rsidR="00D5574C">
        <w:rPr>
          <w:rFonts w:ascii="Times New Roman" w:hAnsi="Times New Roman" w:cs="Times New Roman"/>
          <w:kern w:val="24"/>
          <w:sz w:val="24"/>
          <w:szCs w:val="24"/>
        </w:rPr>
        <w:t xml:space="preserve">involve </w:t>
      </w:r>
      <w:r w:rsidR="00B45157">
        <w:rPr>
          <w:rFonts w:ascii="Times New Roman" w:hAnsi="Times New Roman" w:cs="Times New Roman"/>
          <w:kern w:val="24"/>
          <w:sz w:val="24"/>
          <w:szCs w:val="24"/>
        </w:rPr>
        <w:t xml:space="preserve">significant government-industry cooperation and are </w:t>
      </w:r>
      <w:r w:rsidR="00682BAC">
        <w:rPr>
          <w:rFonts w:ascii="Times New Roman" w:hAnsi="Times New Roman" w:cs="Times New Roman"/>
          <w:kern w:val="24"/>
          <w:sz w:val="24"/>
          <w:szCs w:val="24"/>
        </w:rPr>
        <w:t>an example of co-regulation.</w:t>
      </w:r>
      <w:r w:rsidR="00EF41F3">
        <w:rPr>
          <w:rStyle w:val="FootnoteReference"/>
          <w:rFonts w:ascii="Times New Roman" w:hAnsi="Times New Roman" w:cs="Times New Roman"/>
          <w:kern w:val="24"/>
          <w:sz w:val="24"/>
          <w:szCs w:val="24"/>
        </w:rPr>
        <w:footnoteReference w:id="73"/>
      </w:r>
      <w:r w:rsidR="00B86E92">
        <w:rPr>
          <w:rFonts w:ascii="Times New Roman" w:hAnsi="Times New Roman" w:cs="Times New Roman"/>
          <w:kern w:val="24"/>
          <w:sz w:val="24"/>
          <w:szCs w:val="24"/>
        </w:rPr>
        <w:t xml:space="preserve"> </w:t>
      </w:r>
      <w:r w:rsidR="00682BAC">
        <w:rPr>
          <w:rFonts w:ascii="Times New Roman" w:hAnsi="Times New Roman" w:cs="Times New Roman"/>
          <w:kern w:val="24"/>
          <w:sz w:val="24"/>
          <w:szCs w:val="24"/>
        </w:rPr>
        <w:t>Cross-bo</w:t>
      </w:r>
      <w:r w:rsidR="00B45157">
        <w:rPr>
          <w:rFonts w:ascii="Times New Roman" w:hAnsi="Times New Roman" w:cs="Times New Roman"/>
          <w:kern w:val="24"/>
          <w:sz w:val="24"/>
          <w:szCs w:val="24"/>
        </w:rPr>
        <w:t>rder privacy rules could follow any of these three regulatory approaches</w:t>
      </w:r>
      <w:r w:rsidR="00682BAC">
        <w:rPr>
          <w:rFonts w:ascii="Times New Roman" w:hAnsi="Times New Roman" w:cs="Times New Roman"/>
          <w:kern w:val="24"/>
          <w:sz w:val="24"/>
          <w:szCs w:val="24"/>
        </w:rPr>
        <w:t>.</w:t>
      </w:r>
      <w:r w:rsidR="00B86E92">
        <w:rPr>
          <w:rFonts w:ascii="Times New Roman" w:hAnsi="Times New Roman" w:cs="Times New Roman"/>
          <w:kern w:val="24"/>
          <w:sz w:val="24"/>
          <w:szCs w:val="24"/>
        </w:rPr>
        <w:t xml:space="preserve"> </w:t>
      </w:r>
      <w:r w:rsidR="00682BAC">
        <w:rPr>
          <w:rFonts w:ascii="Times New Roman" w:hAnsi="Times New Roman" w:cs="Times New Roman"/>
          <w:kern w:val="24"/>
          <w:sz w:val="24"/>
          <w:szCs w:val="24"/>
        </w:rPr>
        <w:t xml:space="preserve">Before settling on co-regulatory codes of conduct, it is important to explore </w:t>
      </w:r>
      <w:r w:rsidR="00D5574C">
        <w:rPr>
          <w:rFonts w:ascii="Times New Roman" w:hAnsi="Times New Roman" w:cs="Times New Roman"/>
          <w:kern w:val="24"/>
          <w:sz w:val="24"/>
          <w:szCs w:val="24"/>
        </w:rPr>
        <w:t xml:space="preserve">how </w:t>
      </w:r>
      <w:r w:rsidR="00682BAC">
        <w:rPr>
          <w:rFonts w:ascii="Times New Roman" w:hAnsi="Times New Roman" w:cs="Times New Roman"/>
          <w:kern w:val="24"/>
          <w:sz w:val="24"/>
          <w:szCs w:val="24"/>
        </w:rPr>
        <w:t>direct or self-regulation would work.</w:t>
      </w:r>
      <w:r w:rsidR="00682BAC">
        <w:rPr>
          <w:rStyle w:val="FootnoteReference"/>
          <w:rFonts w:ascii="Times New Roman" w:hAnsi="Times New Roman" w:cs="Times New Roman"/>
          <w:kern w:val="24"/>
          <w:sz w:val="24"/>
          <w:szCs w:val="24"/>
        </w:rPr>
        <w:footnoteReference w:id="74"/>
      </w:r>
    </w:p>
    <w:p w:rsidR="00506B64" w:rsidRDefault="00506B64" w:rsidP="001610E3">
      <w:pPr>
        <w:autoSpaceDE w:val="0"/>
        <w:autoSpaceDN w:val="0"/>
        <w:adjustRightInd w:val="0"/>
        <w:spacing w:after="0" w:line="480" w:lineRule="auto"/>
        <w:rPr>
          <w:rFonts w:ascii="Times New Roman" w:hAnsi="Times New Roman" w:cs="Times New Roman"/>
          <w:kern w:val="24"/>
          <w:sz w:val="24"/>
          <w:szCs w:val="24"/>
        </w:rPr>
      </w:pPr>
    </w:p>
    <w:p w:rsidR="00506B64" w:rsidRPr="001610E3" w:rsidRDefault="00506B64" w:rsidP="001610E3">
      <w:pPr>
        <w:pStyle w:val="ListParagraph"/>
        <w:numPr>
          <w:ilvl w:val="0"/>
          <w:numId w:val="14"/>
        </w:numPr>
        <w:autoSpaceDE w:val="0"/>
        <w:autoSpaceDN w:val="0"/>
        <w:adjustRightInd w:val="0"/>
        <w:spacing w:after="0" w:line="480" w:lineRule="auto"/>
        <w:rPr>
          <w:rFonts w:ascii="Times New Roman" w:hAnsi="Times New Roman" w:cs="Times New Roman"/>
          <w:kern w:val="24"/>
          <w:sz w:val="24"/>
          <w:szCs w:val="24"/>
          <w:u w:val="single"/>
        </w:rPr>
      </w:pPr>
      <w:r w:rsidRPr="00D60D9E">
        <w:rPr>
          <w:rFonts w:ascii="Times New Roman" w:hAnsi="Times New Roman" w:cs="Times New Roman"/>
          <w:kern w:val="24"/>
          <w:sz w:val="24"/>
          <w:szCs w:val="24"/>
          <w:u w:val="single"/>
        </w:rPr>
        <w:t xml:space="preserve"> Direct Regulation</w:t>
      </w:r>
    </w:p>
    <w:p w:rsidR="00506B64" w:rsidRDefault="00506B64"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To establish cross-border privacy rules through </w:t>
      </w:r>
      <w:r w:rsidR="00EE5CCF" w:rsidRPr="00682BAC">
        <w:rPr>
          <w:rFonts w:ascii="Times New Roman" w:hAnsi="Times New Roman" w:cs="Times New Roman"/>
          <w:kern w:val="24"/>
          <w:sz w:val="24"/>
          <w:szCs w:val="24"/>
        </w:rPr>
        <w:t xml:space="preserve">direct regulation, participating countries would </w:t>
      </w:r>
      <w:r w:rsidR="009123AA" w:rsidRPr="00682BAC">
        <w:rPr>
          <w:rFonts w:ascii="Times New Roman" w:hAnsi="Times New Roman" w:cs="Times New Roman"/>
          <w:kern w:val="24"/>
          <w:sz w:val="24"/>
          <w:szCs w:val="24"/>
        </w:rPr>
        <w:t xml:space="preserve">first </w:t>
      </w:r>
      <w:r w:rsidR="00EE5CCF" w:rsidRPr="00682BAC">
        <w:rPr>
          <w:rFonts w:ascii="Times New Roman" w:hAnsi="Times New Roman" w:cs="Times New Roman"/>
          <w:kern w:val="24"/>
          <w:sz w:val="24"/>
          <w:szCs w:val="24"/>
        </w:rPr>
        <w:t xml:space="preserve">adopt a treaty or convention establishing international privacy requirements. </w:t>
      </w:r>
      <w:r w:rsidR="00EE5CCF">
        <w:rPr>
          <w:rFonts w:ascii="Times New Roman" w:hAnsi="Times New Roman" w:cs="Times New Roman"/>
          <w:kern w:val="24"/>
          <w:sz w:val="24"/>
          <w:szCs w:val="24"/>
        </w:rPr>
        <w:t>Each ratifying nation wo</w:t>
      </w:r>
      <w:r w:rsidR="00AB32B2">
        <w:rPr>
          <w:rFonts w:ascii="Times New Roman" w:hAnsi="Times New Roman" w:cs="Times New Roman"/>
          <w:kern w:val="24"/>
          <w:sz w:val="24"/>
          <w:szCs w:val="24"/>
        </w:rPr>
        <w:t xml:space="preserve">uld then promulgate </w:t>
      </w:r>
      <w:r w:rsidR="00EE5CCF">
        <w:rPr>
          <w:rFonts w:ascii="Times New Roman" w:hAnsi="Times New Roman" w:cs="Times New Roman"/>
          <w:kern w:val="24"/>
          <w:sz w:val="24"/>
          <w:szCs w:val="24"/>
        </w:rPr>
        <w:t xml:space="preserve">national </w:t>
      </w:r>
      <w:r w:rsidR="00AB32B2">
        <w:rPr>
          <w:rFonts w:ascii="Times New Roman" w:hAnsi="Times New Roman" w:cs="Times New Roman"/>
          <w:kern w:val="24"/>
          <w:sz w:val="24"/>
          <w:szCs w:val="24"/>
        </w:rPr>
        <w:t>laws</w:t>
      </w:r>
      <w:r w:rsidR="00AC5AD0">
        <w:rPr>
          <w:rFonts w:ascii="Times New Roman" w:hAnsi="Times New Roman" w:cs="Times New Roman"/>
          <w:kern w:val="24"/>
          <w:sz w:val="24"/>
          <w:szCs w:val="24"/>
        </w:rPr>
        <w:t xml:space="preserve"> </w:t>
      </w:r>
      <w:r w:rsidR="00AB32B2">
        <w:rPr>
          <w:rFonts w:ascii="Times New Roman" w:hAnsi="Times New Roman" w:cs="Times New Roman"/>
          <w:kern w:val="24"/>
          <w:sz w:val="24"/>
          <w:szCs w:val="24"/>
        </w:rPr>
        <w:t xml:space="preserve">and regulations </w:t>
      </w:r>
      <w:r w:rsidR="00EE5CCF">
        <w:rPr>
          <w:rFonts w:ascii="Times New Roman" w:hAnsi="Times New Roman" w:cs="Times New Roman"/>
          <w:kern w:val="24"/>
          <w:sz w:val="24"/>
          <w:szCs w:val="24"/>
        </w:rPr>
        <w:t xml:space="preserve">that closely tracked the international template, and </w:t>
      </w:r>
      <w:r w:rsidR="00940EB5">
        <w:rPr>
          <w:rFonts w:ascii="Times New Roman" w:hAnsi="Times New Roman" w:cs="Times New Roman"/>
          <w:kern w:val="24"/>
          <w:sz w:val="24"/>
          <w:szCs w:val="24"/>
        </w:rPr>
        <w:t xml:space="preserve">would enforce </w:t>
      </w:r>
      <w:r w:rsidR="00EE5CCF">
        <w:rPr>
          <w:rFonts w:ascii="Times New Roman" w:hAnsi="Times New Roman" w:cs="Times New Roman"/>
          <w:kern w:val="24"/>
          <w:sz w:val="24"/>
          <w:szCs w:val="24"/>
        </w:rPr>
        <w:t>these requirements against companies in their jurisdiction.</w:t>
      </w:r>
      <w:r>
        <w:rPr>
          <w:rFonts w:ascii="Times New Roman" w:hAnsi="Times New Roman" w:cs="Times New Roman"/>
          <w:kern w:val="24"/>
          <w:sz w:val="24"/>
          <w:szCs w:val="24"/>
        </w:rPr>
        <w:t xml:space="preserve"> </w:t>
      </w:r>
      <w:r w:rsidR="00844F57">
        <w:rPr>
          <w:rFonts w:ascii="Times New Roman" w:hAnsi="Times New Roman" w:cs="Times New Roman"/>
          <w:kern w:val="24"/>
          <w:sz w:val="24"/>
          <w:szCs w:val="24"/>
        </w:rPr>
        <w:t xml:space="preserve">In such a way, </w:t>
      </w:r>
      <w:r w:rsidR="00EE5CCF">
        <w:rPr>
          <w:rFonts w:ascii="Times New Roman" w:hAnsi="Times New Roman" w:cs="Times New Roman"/>
          <w:kern w:val="24"/>
          <w:sz w:val="24"/>
          <w:szCs w:val="24"/>
        </w:rPr>
        <w:t xml:space="preserve">direct, government </w:t>
      </w:r>
      <w:r w:rsidR="00940EB5">
        <w:rPr>
          <w:rFonts w:ascii="Times New Roman" w:hAnsi="Times New Roman" w:cs="Times New Roman"/>
          <w:kern w:val="24"/>
          <w:sz w:val="24"/>
          <w:szCs w:val="24"/>
        </w:rPr>
        <w:t xml:space="preserve">regulation </w:t>
      </w:r>
      <w:r w:rsidR="00844F57">
        <w:rPr>
          <w:rFonts w:ascii="Times New Roman" w:hAnsi="Times New Roman" w:cs="Times New Roman"/>
          <w:kern w:val="24"/>
          <w:sz w:val="24"/>
          <w:szCs w:val="24"/>
        </w:rPr>
        <w:t xml:space="preserve">would </w:t>
      </w:r>
      <w:r w:rsidR="00EE5CCF">
        <w:rPr>
          <w:rFonts w:ascii="Times New Roman" w:hAnsi="Times New Roman" w:cs="Times New Roman"/>
          <w:kern w:val="24"/>
          <w:sz w:val="24"/>
          <w:szCs w:val="24"/>
        </w:rPr>
        <w:t>establish uniform, cross-border privacy rules.</w:t>
      </w:r>
    </w:p>
    <w:p w:rsidR="00506B64" w:rsidRDefault="00EE5CCF"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strengths of such an approach would be </w:t>
      </w:r>
      <w:r w:rsidR="002B2BD3">
        <w:rPr>
          <w:rFonts w:ascii="Times New Roman" w:hAnsi="Times New Roman" w:cs="Times New Roman"/>
          <w:kern w:val="24"/>
          <w:sz w:val="24"/>
          <w:szCs w:val="24"/>
        </w:rPr>
        <w:t xml:space="preserve">those </w:t>
      </w:r>
      <w:r>
        <w:rPr>
          <w:rFonts w:ascii="Times New Roman" w:hAnsi="Times New Roman" w:cs="Times New Roman"/>
          <w:kern w:val="24"/>
          <w:sz w:val="24"/>
          <w:szCs w:val="24"/>
        </w:rPr>
        <w:t>commonly associated with direct regulation.</w:t>
      </w:r>
      <w:r w:rsidR="00506B64">
        <w:rPr>
          <w:rFonts w:ascii="Times New Roman" w:hAnsi="Times New Roman" w:cs="Times New Roman"/>
          <w:kern w:val="24"/>
          <w:sz w:val="24"/>
          <w:szCs w:val="24"/>
        </w:rPr>
        <w:t xml:space="preserve"> </w:t>
      </w:r>
      <w:r w:rsidR="003F2766">
        <w:rPr>
          <w:rFonts w:ascii="Times New Roman" w:hAnsi="Times New Roman" w:cs="Times New Roman"/>
          <w:kern w:val="24"/>
          <w:sz w:val="24"/>
          <w:szCs w:val="24"/>
        </w:rPr>
        <w:t xml:space="preserve">Governments would likely establish </w:t>
      </w:r>
      <w:r w:rsidR="008339D7">
        <w:rPr>
          <w:rFonts w:ascii="Times New Roman" w:hAnsi="Times New Roman" w:cs="Times New Roman"/>
          <w:kern w:val="24"/>
          <w:sz w:val="24"/>
          <w:szCs w:val="24"/>
        </w:rPr>
        <w:t xml:space="preserve">relatively </w:t>
      </w:r>
      <w:r w:rsidR="00AC5AD0">
        <w:rPr>
          <w:rFonts w:ascii="Times New Roman" w:hAnsi="Times New Roman" w:cs="Times New Roman"/>
          <w:kern w:val="24"/>
          <w:sz w:val="24"/>
          <w:szCs w:val="24"/>
        </w:rPr>
        <w:t xml:space="preserve">uniform, </w:t>
      </w:r>
      <w:r w:rsidR="00FF5AEF">
        <w:rPr>
          <w:rFonts w:ascii="Times New Roman" w:hAnsi="Times New Roman" w:cs="Times New Roman"/>
          <w:kern w:val="24"/>
          <w:sz w:val="24"/>
          <w:szCs w:val="24"/>
        </w:rPr>
        <w:t>socially-</w:t>
      </w:r>
      <w:r w:rsidR="003F2766">
        <w:rPr>
          <w:rFonts w:ascii="Times New Roman" w:hAnsi="Times New Roman" w:cs="Times New Roman"/>
          <w:kern w:val="24"/>
          <w:sz w:val="24"/>
          <w:szCs w:val="24"/>
        </w:rPr>
        <w:t xml:space="preserve">protective </w:t>
      </w:r>
      <w:r w:rsidR="00AC5AD0">
        <w:rPr>
          <w:rFonts w:ascii="Times New Roman" w:hAnsi="Times New Roman" w:cs="Times New Roman"/>
          <w:kern w:val="24"/>
          <w:sz w:val="24"/>
          <w:szCs w:val="24"/>
        </w:rPr>
        <w:t>set</w:t>
      </w:r>
      <w:r w:rsidR="00AB32B2">
        <w:rPr>
          <w:rFonts w:ascii="Times New Roman" w:hAnsi="Times New Roman" w:cs="Times New Roman"/>
          <w:kern w:val="24"/>
          <w:sz w:val="24"/>
          <w:szCs w:val="24"/>
        </w:rPr>
        <w:t>s</w:t>
      </w:r>
      <w:r w:rsidR="00AC5AD0">
        <w:rPr>
          <w:rFonts w:ascii="Times New Roman" w:hAnsi="Times New Roman" w:cs="Times New Roman"/>
          <w:kern w:val="24"/>
          <w:sz w:val="24"/>
          <w:szCs w:val="24"/>
        </w:rPr>
        <w:t xml:space="preserve"> of </w:t>
      </w:r>
      <w:r w:rsidR="003F2766">
        <w:rPr>
          <w:rFonts w:ascii="Times New Roman" w:hAnsi="Times New Roman" w:cs="Times New Roman"/>
          <w:kern w:val="24"/>
          <w:sz w:val="24"/>
          <w:szCs w:val="24"/>
        </w:rPr>
        <w:t>rules.</w:t>
      </w:r>
      <w:r w:rsidR="00506B64">
        <w:rPr>
          <w:rFonts w:ascii="Times New Roman" w:hAnsi="Times New Roman" w:cs="Times New Roman"/>
          <w:kern w:val="24"/>
          <w:sz w:val="24"/>
          <w:szCs w:val="24"/>
        </w:rPr>
        <w:t xml:space="preserve"> </w:t>
      </w:r>
      <w:r w:rsidR="00AC5AD0">
        <w:rPr>
          <w:rFonts w:ascii="Times New Roman" w:hAnsi="Times New Roman" w:cs="Times New Roman"/>
          <w:kern w:val="24"/>
          <w:sz w:val="24"/>
          <w:szCs w:val="24"/>
        </w:rPr>
        <w:t>The</w:t>
      </w:r>
      <w:r w:rsidR="00FF5AEF">
        <w:rPr>
          <w:rFonts w:ascii="Times New Roman" w:hAnsi="Times New Roman" w:cs="Times New Roman"/>
          <w:kern w:val="24"/>
          <w:sz w:val="24"/>
          <w:szCs w:val="24"/>
        </w:rPr>
        <w:t xml:space="preserve"> uniformity </w:t>
      </w:r>
      <w:r w:rsidR="00AC5AD0">
        <w:rPr>
          <w:rFonts w:ascii="Times New Roman" w:hAnsi="Times New Roman" w:cs="Times New Roman"/>
          <w:kern w:val="24"/>
          <w:sz w:val="24"/>
          <w:szCs w:val="24"/>
        </w:rPr>
        <w:t xml:space="preserve">would make it easier for regulators to </w:t>
      </w:r>
      <w:r w:rsidR="003F2766">
        <w:rPr>
          <w:rFonts w:ascii="Times New Roman" w:hAnsi="Times New Roman" w:cs="Times New Roman"/>
          <w:kern w:val="24"/>
          <w:sz w:val="24"/>
          <w:szCs w:val="24"/>
        </w:rPr>
        <w:t xml:space="preserve">monitor compliance with, and </w:t>
      </w:r>
      <w:r w:rsidR="00FF5AEF">
        <w:rPr>
          <w:rFonts w:ascii="Times New Roman" w:hAnsi="Times New Roman" w:cs="Times New Roman"/>
          <w:kern w:val="24"/>
          <w:sz w:val="24"/>
          <w:szCs w:val="24"/>
        </w:rPr>
        <w:t xml:space="preserve">to </w:t>
      </w:r>
      <w:r w:rsidR="003F2766">
        <w:rPr>
          <w:rFonts w:ascii="Times New Roman" w:hAnsi="Times New Roman" w:cs="Times New Roman"/>
          <w:kern w:val="24"/>
          <w:sz w:val="24"/>
          <w:szCs w:val="24"/>
        </w:rPr>
        <w:t xml:space="preserve">enforce, </w:t>
      </w:r>
      <w:r w:rsidR="008339D7">
        <w:rPr>
          <w:rFonts w:ascii="Times New Roman" w:hAnsi="Times New Roman" w:cs="Times New Roman"/>
          <w:kern w:val="24"/>
          <w:sz w:val="24"/>
          <w:szCs w:val="24"/>
        </w:rPr>
        <w:t>these rules</w:t>
      </w:r>
      <w:r w:rsidR="003F2766">
        <w:rPr>
          <w:rFonts w:ascii="Times New Roman" w:hAnsi="Times New Roman" w:cs="Times New Roman"/>
          <w:kern w:val="24"/>
          <w:sz w:val="24"/>
          <w:szCs w:val="24"/>
        </w:rPr>
        <w:t>.</w:t>
      </w:r>
      <w:r w:rsidR="00AD3D14">
        <w:rPr>
          <w:rStyle w:val="FootnoteReference"/>
          <w:rFonts w:ascii="Times New Roman" w:hAnsi="Times New Roman" w:cs="Times New Roman"/>
          <w:kern w:val="24"/>
          <w:sz w:val="24"/>
          <w:szCs w:val="24"/>
        </w:rPr>
        <w:footnoteReference w:id="75"/>
      </w:r>
      <w:r w:rsidR="00506B64">
        <w:rPr>
          <w:rFonts w:ascii="Times New Roman" w:hAnsi="Times New Roman" w:cs="Times New Roman"/>
          <w:kern w:val="24"/>
          <w:sz w:val="24"/>
          <w:szCs w:val="24"/>
        </w:rPr>
        <w:t xml:space="preserve"> </w:t>
      </w:r>
      <w:r w:rsidR="008339D7">
        <w:rPr>
          <w:rFonts w:ascii="Times New Roman" w:hAnsi="Times New Roman" w:cs="Times New Roman"/>
          <w:kern w:val="24"/>
          <w:sz w:val="24"/>
          <w:szCs w:val="24"/>
        </w:rPr>
        <w:t>It would also create a level playing field for business</w:t>
      </w:r>
      <w:r w:rsidR="00AD3D14">
        <w:rPr>
          <w:rFonts w:ascii="Times New Roman" w:hAnsi="Times New Roman" w:cs="Times New Roman"/>
          <w:kern w:val="24"/>
          <w:sz w:val="24"/>
          <w:szCs w:val="24"/>
        </w:rPr>
        <w:t>.</w:t>
      </w:r>
      <w:r w:rsidR="00AD3D14">
        <w:rPr>
          <w:rStyle w:val="FootnoteReference"/>
          <w:rFonts w:ascii="Times New Roman" w:hAnsi="Times New Roman" w:cs="Times New Roman"/>
          <w:kern w:val="24"/>
          <w:sz w:val="24"/>
          <w:szCs w:val="24"/>
        </w:rPr>
        <w:footnoteReference w:id="76"/>
      </w:r>
    </w:p>
    <w:p w:rsidR="00506B64" w:rsidRDefault="00AB32B2"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D</w:t>
      </w:r>
      <w:r w:rsidR="0092334F">
        <w:rPr>
          <w:rFonts w:ascii="Times New Roman" w:hAnsi="Times New Roman" w:cs="Times New Roman"/>
          <w:kern w:val="24"/>
          <w:sz w:val="24"/>
          <w:szCs w:val="24"/>
        </w:rPr>
        <w:t xml:space="preserve">irect regulation </w:t>
      </w:r>
      <w:r w:rsidR="00FF5AEF">
        <w:rPr>
          <w:rFonts w:ascii="Times New Roman" w:hAnsi="Times New Roman" w:cs="Times New Roman"/>
          <w:kern w:val="24"/>
          <w:sz w:val="24"/>
          <w:szCs w:val="24"/>
        </w:rPr>
        <w:t xml:space="preserve">would </w:t>
      </w:r>
      <w:r>
        <w:rPr>
          <w:rFonts w:ascii="Times New Roman" w:hAnsi="Times New Roman" w:cs="Times New Roman"/>
          <w:kern w:val="24"/>
          <w:sz w:val="24"/>
          <w:szCs w:val="24"/>
        </w:rPr>
        <w:t xml:space="preserve">also </w:t>
      </w:r>
      <w:r w:rsidR="0092334F">
        <w:rPr>
          <w:rFonts w:ascii="Times New Roman" w:hAnsi="Times New Roman" w:cs="Times New Roman"/>
          <w:kern w:val="24"/>
          <w:sz w:val="24"/>
          <w:szCs w:val="24"/>
        </w:rPr>
        <w:t>face important obstacles and present significant downsides</w:t>
      </w:r>
      <w:r w:rsidR="00FF5AEF">
        <w:rPr>
          <w:rFonts w:ascii="Times New Roman" w:hAnsi="Times New Roman" w:cs="Times New Roman"/>
          <w:kern w:val="24"/>
          <w:sz w:val="24"/>
          <w:szCs w:val="24"/>
        </w:rPr>
        <w:t>.</w:t>
      </w:r>
      <w:r w:rsidR="00506B64">
        <w:rPr>
          <w:rFonts w:ascii="Times New Roman" w:hAnsi="Times New Roman" w:cs="Times New Roman"/>
          <w:kern w:val="24"/>
          <w:sz w:val="24"/>
          <w:szCs w:val="24"/>
        </w:rPr>
        <w:t xml:space="preserve"> </w:t>
      </w:r>
      <w:r w:rsidR="008339D7">
        <w:rPr>
          <w:rFonts w:ascii="Times New Roman" w:hAnsi="Times New Roman" w:cs="Times New Roman"/>
          <w:kern w:val="24"/>
          <w:sz w:val="24"/>
          <w:szCs w:val="24"/>
        </w:rPr>
        <w:t>The first obstacle is a practical one.</w:t>
      </w:r>
      <w:r w:rsidR="00506B64">
        <w:rPr>
          <w:rFonts w:ascii="Times New Roman" w:hAnsi="Times New Roman" w:cs="Times New Roman"/>
          <w:kern w:val="24"/>
          <w:sz w:val="24"/>
          <w:szCs w:val="24"/>
        </w:rPr>
        <w:t xml:space="preserve"> </w:t>
      </w:r>
      <w:r w:rsidR="0092334F">
        <w:rPr>
          <w:rFonts w:ascii="Times New Roman" w:hAnsi="Times New Roman" w:cs="Times New Roman"/>
          <w:kern w:val="24"/>
          <w:sz w:val="24"/>
          <w:szCs w:val="24"/>
        </w:rPr>
        <w:t xml:space="preserve">It is </w:t>
      </w:r>
      <w:r w:rsidR="00FF5AEF">
        <w:rPr>
          <w:rFonts w:ascii="Times New Roman" w:hAnsi="Times New Roman" w:cs="Times New Roman"/>
          <w:kern w:val="24"/>
          <w:sz w:val="24"/>
          <w:szCs w:val="24"/>
        </w:rPr>
        <w:t xml:space="preserve">extremely </w:t>
      </w:r>
      <w:r w:rsidR="0092334F">
        <w:rPr>
          <w:rFonts w:ascii="Times New Roman" w:hAnsi="Times New Roman" w:cs="Times New Roman"/>
          <w:kern w:val="24"/>
          <w:sz w:val="24"/>
          <w:szCs w:val="24"/>
        </w:rPr>
        <w:t xml:space="preserve">difficult to </w:t>
      </w:r>
      <w:r w:rsidR="00FF5AEF">
        <w:rPr>
          <w:rFonts w:ascii="Times New Roman" w:hAnsi="Times New Roman" w:cs="Times New Roman"/>
          <w:kern w:val="24"/>
          <w:sz w:val="24"/>
          <w:szCs w:val="24"/>
        </w:rPr>
        <w:t>establish an international treaty of any sort.</w:t>
      </w:r>
      <w:r w:rsidR="00506B64">
        <w:rPr>
          <w:rFonts w:ascii="Times New Roman" w:hAnsi="Times New Roman" w:cs="Times New Roman"/>
          <w:kern w:val="24"/>
          <w:sz w:val="24"/>
          <w:szCs w:val="24"/>
        </w:rPr>
        <w:t xml:space="preserve"> </w:t>
      </w:r>
      <w:r w:rsidR="00FF5AEF">
        <w:rPr>
          <w:rFonts w:ascii="Times New Roman" w:hAnsi="Times New Roman" w:cs="Times New Roman"/>
          <w:kern w:val="24"/>
          <w:sz w:val="24"/>
          <w:szCs w:val="24"/>
        </w:rPr>
        <w:t xml:space="preserve">This task becomes even </w:t>
      </w:r>
      <w:r w:rsidR="0092334F">
        <w:rPr>
          <w:rFonts w:ascii="Times New Roman" w:hAnsi="Times New Roman" w:cs="Times New Roman"/>
          <w:kern w:val="24"/>
          <w:sz w:val="24"/>
          <w:szCs w:val="24"/>
        </w:rPr>
        <w:t xml:space="preserve">harder </w:t>
      </w:r>
      <w:r w:rsidR="00FF5AEF">
        <w:rPr>
          <w:rFonts w:ascii="Times New Roman" w:hAnsi="Times New Roman" w:cs="Times New Roman"/>
          <w:kern w:val="24"/>
          <w:sz w:val="24"/>
          <w:szCs w:val="24"/>
        </w:rPr>
        <w:t xml:space="preserve">when the treaty in question </w:t>
      </w:r>
      <w:r w:rsidR="0092334F">
        <w:rPr>
          <w:rFonts w:ascii="Times New Roman" w:hAnsi="Times New Roman" w:cs="Times New Roman"/>
          <w:kern w:val="24"/>
          <w:sz w:val="24"/>
          <w:szCs w:val="24"/>
        </w:rPr>
        <w:t xml:space="preserve">would </w:t>
      </w:r>
      <w:r w:rsidR="00E56253">
        <w:rPr>
          <w:rFonts w:ascii="Times New Roman" w:hAnsi="Times New Roman" w:cs="Times New Roman"/>
          <w:kern w:val="24"/>
          <w:sz w:val="24"/>
          <w:szCs w:val="24"/>
        </w:rPr>
        <w:t>address an issue, such as privacy, as to which there are deep cultural and regional differences.</w:t>
      </w:r>
      <w:r w:rsidR="00BF403B">
        <w:rPr>
          <w:rStyle w:val="FootnoteReference"/>
          <w:rFonts w:ascii="Times New Roman" w:hAnsi="Times New Roman" w:cs="Times New Roman"/>
          <w:kern w:val="24"/>
          <w:sz w:val="24"/>
          <w:szCs w:val="24"/>
        </w:rPr>
        <w:footnoteReference w:id="77"/>
      </w:r>
      <w:r w:rsidR="00506B64">
        <w:rPr>
          <w:rFonts w:ascii="Times New Roman" w:hAnsi="Times New Roman" w:cs="Times New Roman"/>
          <w:kern w:val="24"/>
          <w:sz w:val="24"/>
          <w:szCs w:val="24"/>
        </w:rPr>
        <w:t xml:space="preserve"> </w:t>
      </w:r>
      <w:r w:rsidR="00E56253">
        <w:rPr>
          <w:rFonts w:ascii="Times New Roman" w:hAnsi="Times New Roman" w:cs="Times New Roman"/>
          <w:kern w:val="24"/>
          <w:sz w:val="24"/>
          <w:szCs w:val="24"/>
        </w:rPr>
        <w:t>It is one thing to set out a broad set of privacy principles, as the OECD has done, and get a variety of nations to sign on to them.</w:t>
      </w:r>
      <w:r w:rsidR="00506B64">
        <w:rPr>
          <w:rFonts w:ascii="Times New Roman" w:hAnsi="Times New Roman" w:cs="Times New Roman"/>
          <w:kern w:val="24"/>
          <w:sz w:val="24"/>
          <w:szCs w:val="24"/>
        </w:rPr>
        <w:t xml:space="preserve"> </w:t>
      </w:r>
      <w:r w:rsidR="00E56253">
        <w:rPr>
          <w:rFonts w:ascii="Times New Roman" w:hAnsi="Times New Roman" w:cs="Times New Roman"/>
          <w:kern w:val="24"/>
          <w:sz w:val="24"/>
          <w:szCs w:val="24"/>
        </w:rPr>
        <w:t xml:space="preserve">It is quite another to negotiate a detailed treaty establishing concrete privacy requirements and </w:t>
      </w:r>
      <w:r w:rsidR="00E153D8">
        <w:rPr>
          <w:rFonts w:ascii="Times New Roman" w:hAnsi="Times New Roman" w:cs="Times New Roman"/>
          <w:kern w:val="24"/>
          <w:sz w:val="24"/>
          <w:szCs w:val="24"/>
        </w:rPr>
        <w:t xml:space="preserve">convince </w:t>
      </w:r>
      <w:r w:rsidR="00E56253">
        <w:rPr>
          <w:rFonts w:ascii="Times New Roman" w:hAnsi="Times New Roman" w:cs="Times New Roman"/>
          <w:kern w:val="24"/>
          <w:sz w:val="24"/>
          <w:szCs w:val="24"/>
        </w:rPr>
        <w:t xml:space="preserve">countries to </w:t>
      </w:r>
      <w:r w:rsidR="00E153D8">
        <w:rPr>
          <w:rFonts w:ascii="Times New Roman" w:hAnsi="Times New Roman" w:cs="Times New Roman"/>
          <w:kern w:val="24"/>
          <w:sz w:val="24"/>
          <w:szCs w:val="24"/>
        </w:rPr>
        <w:t xml:space="preserve">ratify, </w:t>
      </w:r>
      <w:r w:rsidR="00E56253">
        <w:rPr>
          <w:rFonts w:ascii="Times New Roman" w:hAnsi="Times New Roman" w:cs="Times New Roman"/>
          <w:kern w:val="24"/>
          <w:sz w:val="24"/>
          <w:szCs w:val="24"/>
        </w:rPr>
        <w:t>implement and enforce them.</w:t>
      </w:r>
      <w:r w:rsidR="00506B64">
        <w:rPr>
          <w:rFonts w:ascii="Times New Roman" w:hAnsi="Times New Roman" w:cs="Times New Roman"/>
          <w:kern w:val="24"/>
          <w:sz w:val="24"/>
          <w:szCs w:val="24"/>
        </w:rPr>
        <w:t xml:space="preserve"> </w:t>
      </w:r>
      <w:r w:rsidR="00E153D8">
        <w:rPr>
          <w:rFonts w:ascii="Times New Roman" w:hAnsi="Times New Roman" w:cs="Times New Roman"/>
          <w:kern w:val="24"/>
          <w:sz w:val="24"/>
          <w:szCs w:val="24"/>
        </w:rPr>
        <w:t>Practical difficulty is one of the major downsides of a direct regulation approach.</w:t>
      </w:r>
      <w:r w:rsidR="00506B64">
        <w:rPr>
          <w:rFonts w:ascii="Times New Roman" w:hAnsi="Times New Roman" w:cs="Times New Roman"/>
          <w:kern w:val="24"/>
          <w:sz w:val="24"/>
          <w:szCs w:val="24"/>
        </w:rPr>
        <w:t xml:space="preserve"> </w:t>
      </w:r>
      <w:r w:rsidR="00E153D8">
        <w:rPr>
          <w:rFonts w:ascii="Times New Roman" w:hAnsi="Times New Roman" w:cs="Times New Roman"/>
          <w:kern w:val="24"/>
          <w:sz w:val="24"/>
          <w:szCs w:val="24"/>
        </w:rPr>
        <w:t xml:space="preserve">It is </w:t>
      </w:r>
      <w:r>
        <w:rPr>
          <w:rFonts w:ascii="Times New Roman" w:hAnsi="Times New Roman" w:cs="Times New Roman"/>
          <w:kern w:val="24"/>
          <w:sz w:val="24"/>
          <w:szCs w:val="24"/>
        </w:rPr>
        <w:t>may explain</w:t>
      </w:r>
      <w:r w:rsidR="00E153D8">
        <w:rPr>
          <w:rFonts w:ascii="Times New Roman" w:hAnsi="Times New Roman" w:cs="Times New Roman"/>
          <w:kern w:val="24"/>
          <w:sz w:val="24"/>
          <w:szCs w:val="24"/>
        </w:rPr>
        <w:t xml:space="preserve"> why </w:t>
      </w:r>
      <w:r w:rsidR="00E56253">
        <w:rPr>
          <w:rFonts w:ascii="Times New Roman" w:hAnsi="Times New Roman" w:cs="Times New Roman"/>
          <w:kern w:val="24"/>
          <w:sz w:val="24"/>
          <w:szCs w:val="24"/>
        </w:rPr>
        <w:t>there have been no serious a</w:t>
      </w:r>
      <w:r w:rsidR="00753CA0">
        <w:rPr>
          <w:rFonts w:ascii="Times New Roman" w:hAnsi="Times New Roman" w:cs="Times New Roman"/>
          <w:kern w:val="24"/>
          <w:sz w:val="24"/>
          <w:szCs w:val="24"/>
        </w:rPr>
        <w:t>ttempts to create such a treaty.</w:t>
      </w:r>
    </w:p>
    <w:p w:rsidR="00C624CC" w:rsidRDefault="00563695"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E</w:t>
      </w:r>
      <w:r w:rsidR="002C6B84">
        <w:rPr>
          <w:rFonts w:ascii="Times New Roman" w:hAnsi="Times New Roman" w:cs="Times New Roman"/>
          <w:kern w:val="24"/>
          <w:sz w:val="24"/>
          <w:szCs w:val="24"/>
        </w:rPr>
        <w:t xml:space="preserve">ven if it were possible to </w:t>
      </w:r>
      <w:r w:rsidR="0099165D">
        <w:rPr>
          <w:rFonts w:ascii="Times New Roman" w:hAnsi="Times New Roman" w:cs="Times New Roman"/>
          <w:kern w:val="24"/>
          <w:sz w:val="24"/>
          <w:szCs w:val="24"/>
        </w:rPr>
        <w:t xml:space="preserve">impose </w:t>
      </w:r>
      <w:r w:rsidR="002C6B84">
        <w:rPr>
          <w:rFonts w:ascii="Times New Roman" w:hAnsi="Times New Roman" w:cs="Times New Roman"/>
          <w:kern w:val="24"/>
          <w:sz w:val="24"/>
          <w:szCs w:val="24"/>
        </w:rPr>
        <w:t xml:space="preserve">cross-border privacy rules through direct regulation, </w:t>
      </w:r>
      <w:r>
        <w:rPr>
          <w:rFonts w:ascii="Times New Roman" w:hAnsi="Times New Roman" w:cs="Times New Roman"/>
          <w:kern w:val="24"/>
          <w:sz w:val="24"/>
          <w:szCs w:val="24"/>
        </w:rPr>
        <w:t xml:space="preserve">regulatory theory suggests that </w:t>
      </w:r>
      <w:r w:rsidR="002C6B84">
        <w:rPr>
          <w:rFonts w:ascii="Times New Roman" w:hAnsi="Times New Roman" w:cs="Times New Roman"/>
          <w:kern w:val="24"/>
          <w:sz w:val="24"/>
          <w:szCs w:val="24"/>
        </w:rPr>
        <w:t xml:space="preserve">this </w:t>
      </w:r>
      <w:r w:rsidR="0092334F">
        <w:rPr>
          <w:rFonts w:ascii="Times New Roman" w:hAnsi="Times New Roman" w:cs="Times New Roman"/>
          <w:kern w:val="24"/>
          <w:sz w:val="24"/>
          <w:szCs w:val="24"/>
        </w:rPr>
        <w:t xml:space="preserve">may not be the </w:t>
      </w:r>
      <w:r w:rsidR="002C6B84">
        <w:rPr>
          <w:rFonts w:ascii="Times New Roman" w:hAnsi="Times New Roman" w:cs="Times New Roman"/>
          <w:kern w:val="24"/>
          <w:sz w:val="24"/>
          <w:szCs w:val="24"/>
        </w:rPr>
        <w:t xml:space="preserve">optimal </w:t>
      </w:r>
      <w:r w:rsidR="0092334F">
        <w:rPr>
          <w:rFonts w:ascii="Times New Roman" w:hAnsi="Times New Roman" w:cs="Times New Roman"/>
          <w:kern w:val="24"/>
          <w:sz w:val="24"/>
          <w:szCs w:val="24"/>
        </w:rPr>
        <w:t>approach</w:t>
      </w:r>
      <w:r w:rsidR="002C6B84">
        <w:rPr>
          <w:rFonts w:ascii="Times New Roman" w:hAnsi="Times New Roman" w:cs="Times New Roman"/>
          <w:kern w:val="24"/>
          <w:sz w:val="24"/>
          <w:szCs w:val="24"/>
        </w:rPr>
        <w:t xml:space="preserve"> for this particular area</w:t>
      </w:r>
      <w:r w:rsidR="0092334F">
        <w:rPr>
          <w:rFonts w:ascii="Times New Roman" w:hAnsi="Times New Roman" w:cs="Times New Roman"/>
          <w:kern w:val="24"/>
          <w:sz w:val="24"/>
          <w:szCs w:val="24"/>
        </w:rPr>
        <w:t>.</w:t>
      </w:r>
      <w:r w:rsidR="00506B64">
        <w:rPr>
          <w:rFonts w:ascii="Times New Roman" w:hAnsi="Times New Roman" w:cs="Times New Roman"/>
          <w:kern w:val="24"/>
          <w:sz w:val="24"/>
          <w:szCs w:val="24"/>
        </w:rPr>
        <w:t xml:space="preserve"> </w:t>
      </w:r>
      <w:r w:rsidR="00A40A7F">
        <w:rPr>
          <w:rFonts w:ascii="Times New Roman" w:hAnsi="Times New Roman" w:cs="Times New Roman"/>
          <w:kern w:val="24"/>
          <w:sz w:val="24"/>
          <w:szCs w:val="24"/>
        </w:rPr>
        <w:t>Direct government regulation works better in some contexts than in others.</w:t>
      </w:r>
      <w:r w:rsidR="00506B64">
        <w:rPr>
          <w:rFonts w:ascii="Times New Roman" w:hAnsi="Times New Roman" w:cs="Times New Roman"/>
          <w:kern w:val="24"/>
          <w:sz w:val="24"/>
          <w:szCs w:val="24"/>
        </w:rPr>
        <w:t xml:space="preserve"> </w:t>
      </w:r>
      <w:r w:rsidR="000376F7">
        <w:rPr>
          <w:rFonts w:ascii="Times New Roman" w:hAnsi="Times New Roman" w:cs="Times New Roman"/>
          <w:kern w:val="24"/>
          <w:sz w:val="24"/>
          <w:szCs w:val="24"/>
        </w:rPr>
        <w:t>It can do a good job of regulating slow</w:t>
      </w:r>
      <w:r w:rsidR="0099165D">
        <w:rPr>
          <w:rFonts w:ascii="Times New Roman" w:hAnsi="Times New Roman" w:cs="Times New Roman"/>
          <w:kern w:val="24"/>
          <w:sz w:val="24"/>
          <w:szCs w:val="24"/>
        </w:rPr>
        <w:t>er</w:t>
      </w:r>
      <w:r w:rsidR="000376F7">
        <w:rPr>
          <w:rFonts w:ascii="Times New Roman" w:hAnsi="Times New Roman" w:cs="Times New Roman"/>
          <w:kern w:val="24"/>
          <w:sz w:val="24"/>
          <w:szCs w:val="24"/>
        </w:rPr>
        <w:t>-moving areas of the economy that pose significant risks to the public.</w:t>
      </w:r>
      <w:r w:rsidR="00506B64">
        <w:rPr>
          <w:rFonts w:ascii="Times New Roman" w:hAnsi="Times New Roman" w:cs="Times New Roman"/>
          <w:kern w:val="24"/>
          <w:sz w:val="24"/>
          <w:szCs w:val="24"/>
        </w:rPr>
        <w:t xml:space="preserve"> </w:t>
      </w:r>
      <w:r w:rsidR="0099165D">
        <w:rPr>
          <w:rFonts w:ascii="Times New Roman" w:hAnsi="Times New Roman" w:cs="Times New Roman"/>
          <w:kern w:val="24"/>
          <w:sz w:val="24"/>
          <w:szCs w:val="24"/>
        </w:rPr>
        <w:t>The regulation of toxic pollutants from manufacturing operations would be one such example</w:t>
      </w:r>
      <w:r w:rsidR="000376F7">
        <w:rPr>
          <w:rFonts w:ascii="Times New Roman" w:hAnsi="Times New Roman" w:cs="Times New Roman"/>
          <w:kern w:val="24"/>
          <w:sz w:val="24"/>
          <w:szCs w:val="24"/>
        </w:rPr>
        <w:t>.</w:t>
      </w:r>
      <w:r w:rsidR="00BF403B">
        <w:rPr>
          <w:rStyle w:val="FootnoteReference"/>
          <w:rFonts w:ascii="Times New Roman" w:hAnsi="Times New Roman" w:cs="Times New Roman"/>
          <w:kern w:val="24"/>
          <w:sz w:val="24"/>
          <w:szCs w:val="24"/>
        </w:rPr>
        <w:footnoteReference w:id="78"/>
      </w:r>
      <w:r w:rsidR="00506B64">
        <w:rPr>
          <w:rFonts w:ascii="Times New Roman" w:hAnsi="Times New Roman" w:cs="Times New Roman"/>
          <w:kern w:val="24"/>
          <w:sz w:val="24"/>
          <w:szCs w:val="24"/>
        </w:rPr>
        <w:t xml:space="preserve"> </w:t>
      </w:r>
      <w:r w:rsidR="0099165D">
        <w:rPr>
          <w:rFonts w:ascii="Times New Roman" w:hAnsi="Times New Roman" w:cs="Times New Roman"/>
          <w:kern w:val="24"/>
          <w:sz w:val="24"/>
          <w:szCs w:val="24"/>
        </w:rPr>
        <w:t>However, d</w:t>
      </w:r>
      <w:r w:rsidR="000376F7">
        <w:rPr>
          <w:rFonts w:ascii="Times New Roman" w:hAnsi="Times New Roman" w:cs="Times New Roman"/>
          <w:kern w:val="24"/>
          <w:sz w:val="24"/>
          <w:szCs w:val="24"/>
        </w:rPr>
        <w:t xml:space="preserve">irect government regulation </w:t>
      </w:r>
      <w:r w:rsidR="00A40A7F">
        <w:rPr>
          <w:rFonts w:ascii="Times New Roman" w:hAnsi="Times New Roman" w:cs="Times New Roman"/>
          <w:kern w:val="24"/>
          <w:sz w:val="24"/>
          <w:szCs w:val="24"/>
        </w:rPr>
        <w:t>is not well-suited to areas, such as privacy regulation, where the technologies and business models change rapidly and continuously.</w:t>
      </w:r>
      <w:r w:rsidR="000376F7">
        <w:rPr>
          <w:rStyle w:val="FootnoteReference"/>
          <w:rFonts w:ascii="Times New Roman" w:hAnsi="Times New Roman" w:cs="Times New Roman"/>
          <w:kern w:val="24"/>
          <w:sz w:val="24"/>
          <w:szCs w:val="24"/>
        </w:rPr>
        <w:footnoteReference w:id="79"/>
      </w:r>
      <w:r w:rsidR="00506B64">
        <w:rPr>
          <w:rFonts w:ascii="Times New Roman" w:hAnsi="Times New Roman" w:cs="Times New Roman"/>
          <w:kern w:val="24"/>
          <w:sz w:val="24"/>
          <w:szCs w:val="24"/>
        </w:rPr>
        <w:t xml:space="preserve"> </w:t>
      </w:r>
      <w:r w:rsidR="00A40A7F">
        <w:rPr>
          <w:rFonts w:ascii="Times New Roman" w:hAnsi="Times New Roman" w:cs="Times New Roman"/>
          <w:kern w:val="24"/>
          <w:sz w:val="24"/>
          <w:szCs w:val="24"/>
        </w:rPr>
        <w:t xml:space="preserve">In these situations, it is difficult for government officials to know enough about the industries in question to </w:t>
      </w:r>
      <w:r>
        <w:rPr>
          <w:rFonts w:ascii="Times New Roman" w:hAnsi="Times New Roman" w:cs="Times New Roman"/>
          <w:kern w:val="24"/>
          <w:sz w:val="24"/>
          <w:szCs w:val="24"/>
        </w:rPr>
        <w:t>craft intelligent rules that account for business realities</w:t>
      </w:r>
      <w:r w:rsidR="00A40A7F">
        <w:rPr>
          <w:rFonts w:ascii="Times New Roman" w:hAnsi="Times New Roman" w:cs="Times New Roman"/>
          <w:kern w:val="24"/>
          <w:sz w:val="24"/>
          <w:szCs w:val="24"/>
        </w:rPr>
        <w:t>.</w:t>
      </w:r>
      <w:r w:rsidR="00506B64">
        <w:rPr>
          <w:rFonts w:ascii="Times New Roman" w:hAnsi="Times New Roman" w:cs="Times New Roman"/>
          <w:kern w:val="24"/>
          <w:sz w:val="24"/>
          <w:szCs w:val="24"/>
        </w:rPr>
        <w:t xml:space="preserve"> </w:t>
      </w:r>
      <w:r w:rsidR="00AC2F4D">
        <w:rPr>
          <w:rFonts w:ascii="Times New Roman" w:hAnsi="Times New Roman" w:cs="Times New Roman"/>
          <w:kern w:val="24"/>
          <w:sz w:val="24"/>
          <w:szCs w:val="24"/>
        </w:rPr>
        <w:t>Moreover</w:t>
      </w:r>
      <w:r w:rsidR="00A40A7F">
        <w:rPr>
          <w:rFonts w:ascii="Times New Roman" w:hAnsi="Times New Roman" w:cs="Times New Roman"/>
          <w:kern w:val="24"/>
          <w:sz w:val="24"/>
          <w:szCs w:val="24"/>
        </w:rPr>
        <w:t xml:space="preserve">, </w:t>
      </w:r>
      <w:r w:rsidR="00D13E44">
        <w:rPr>
          <w:rFonts w:ascii="Times New Roman" w:hAnsi="Times New Roman" w:cs="Times New Roman"/>
          <w:kern w:val="24"/>
          <w:sz w:val="24"/>
          <w:szCs w:val="24"/>
        </w:rPr>
        <w:t xml:space="preserve">government regulation’s </w:t>
      </w:r>
      <w:r w:rsidR="00A40A7F">
        <w:rPr>
          <w:rFonts w:ascii="Times New Roman" w:hAnsi="Times New Roman" w:cs="Times New Roman"/>
          <w:kern w:val="24"/>
          <w:sz w:val="24"/>
          <w:szCs w:val="24"/>
        </w:rPr>
        <w:t xml:space="preserve">lengthy time frame (e.g. notice-and-comment rulemaking) </w:t>
      </w:r>
      <w:r w:rsidR="00D13E44">
        <w:rPr>
          <w:rFonts w:ascii="Times New Roman" w:hAnsi="Times New Roman" w:cs="Times New Roman"/>
          <w:kern w:val="24"/>
          <w:sz w:val="24"/>
          <w:szCs w:val="24"/>
        </w:rPr>
        <w:t xml:space="preserve">often fails to </w:t>
      </w:r>
      <w:r w:rsidR="00A40A7F">
        <w:rPr>
          <w:rFonts w:ascii="Times New Roman" w:hAnsi="Times New Roman" w:cs="Times New Roman"/>
          <w:kern w:val="24"/>
          <w:sz w:val="24"/>
          <w:szCs w:val="24"/>
        </w:rPr>
        <w:t xml:space="preserve">keep </w:t>
      </w:r>
      <w:r w:rsidR="00AC2F4D">
        <w:rPr>
          <w:rFonts w:ascii="Times New Roman" w:hAnsi="Times New Roman" w:cs="Times New Roman"/>
          <w:kern w:val="24"/>
          <w:sz w:val="24"/>
          <w:szCs w:val="24"/>
        </w:rPr>
        <w:t xml:space="preserve">pace </w:t>
      </w:r>
      <w:r w:rsidR="00A40A7F">
        <w:rPr>
          <w:rFonts w:ascii="Times New Roman" w:hAnsi="Times New Roman" w:cs="Times New Roman"/>
          <w:kern w:val="24"/>
          <w:sz w:val="24"/>
          <w:szCs w:val="24"/>
        </w:rPr>
        <w:t>with fast-</w:t>
      </w:r>
      <w:r w:rsidR="00AC2F4D">
        <w:rPr>
          <w:rFonts w:ascii="Times New Roman" w:hAnsi="Times New Roman" w:cs="Times New Roman"/>
          <w:kern w:val="24"/>
          <w:sz w:val="24"/>
          <w:szCs w:val="24"/>
        </w:rPr>
        <w:lastRenderedPageBreak/>
        <w:t xml:space="preserve">moving </w:t>
      </w:r>
      <w:r w:rsidR="00A40A7F">
        <w:rPr>
          <w:rFonts w:ascii="Times New Roman" w:hAnsi="Times New Roman" w:cs="Times New Roman"/>
          <w:kern w:val="24"/>
          <w:sz w:val="24"/>
          <w:szCs w:val="24"/>
        </w:rPr>
        <w:t>technological and business change</w:t>
      </w:r>
      <w:r w:rsidR="00AC2F4D">
        <w:rPr>
          <w:rFonts w:ascii="Times New Roman" w:hAnsi="Times New Roman" w:cs="Times New Roman"/>
          <w:kern w:val="24"/>
          <w:sz w:val="24"/>
          <w:szCs w:val="24"/>
        </w:rPr>
        <w:t>s</w:t>
      </w:r>
      <w:r w:rsidR="00A40A7F">
        <w:rPr>
          <w:rFonts w:ascii="Times New Roman" w:hAnsi="Times New Roman" w:cs="Times New Roman"/>
          <w:kern w:val="24"/>
          <w:sz w:val="24"/>
          <w:szCs w:val="24"/>
        </w:rPr>
        <w:t>.</w:t>
      </w:r>
      <w:r w:rsidR="00506B64">
        <w:rPr>
          <w:rFonts w:ascii="Times New Roman" w:hAnsi="Times New Roman" w:cs="Times New Roman"/>
          <w:kern w:val="24"/>
          <w:sz w:val="24"/>
          <w:szCs w:val="24"/>
        </w:rPr>
        <w:t xml:space="preserve"> </w:t>
      </w:r>
      <w:r w:rsidR="00D92EC9">
        <w:rPr>
          <w:rStyle w:val="FootnoteReference"/>
          <w:rFonts w:ascii="Times New Roman" w:hAnsi="Times New Roman" w:cs="Times New Roman"/>
          <w:kern w:val="24"/>
          <w:sz w:val="24"/>
          <w:szCs w:val="24"/>
        </w:rPr>
        <w:footnoteReference w:id="80"/>
      </w:r>
      <w:r w:rsidR="00D92EC9">
        <w:rPr>
          <w:rFonts w:ascii="Times New Roman" w:hAnsi="Times New Roman" w:cs="Times New Roman"/>
          <w:kern w:val="24"/>
          <w:sz w:val="24"/>
          <w:szCs w:val="24"/>
        </w:rPr>
        <w:t xml:space="preserve"> </w:t>
      </w:r>
      <w:r w:rsidR="00D13E44">
        <w:rPr>
          <w:rFonts w:ascii="Times New Roman" w:hAnsi="Times New Roman" w:cs="Times New Roman"/>
          <w:kern w:val="24"/>
          <w:sz w:val="24"/>
          <w:szCs w:val="24"/>
        </w:rPr>
        <w:t xml:space="preserve">Business realities </w:t>
      </w:r>
      <w:r w:rsidR="00D92EC9">
        <w:rPr>
          <w:rFonts w:ascii="Times New Roman" w:hAnsi="Times New Roman" w:cs="Times New Roman"/>
          <w:kern w:val="24"/>
          <w:sz w:val="24"/>
          <w:szCs w:val="24"/>
        </w:rPr>
        <w:t>end up ‘lapping’</w:t>
      </w:r>
      <w:r w:rsidR="00A40A7F">
        <w:rPr>
          <w:rFonts w:ascii="Times New Roman" w:hAnsi="Times New Roman" w:cs="Times New Roman"/>
          <w:kern w:val="24"/>
          <w:sz w:val="24"/>
          <w:szCs w:val="24"/>
        </w:rPr>
        <w:t xml:space="preserve"> the government </w:t>
      </w:r>
      <w:r w:rsidR="00F66DB3">
        <w:rPr>
          <w:rFonts w:ascii="Times New Roman" w:hAnsi="Times New Roman" w:cs="Times New Roman"/>
          <w:kern w:val="24"/>
          <w:sz w:val="24"/>
          <w:szCs w:val="24"/>
        </w:rPr>
        <w:t xml:space="preserve">rules intended to regulate them, rendering </w:t>
      </w:r>
      <w:r w:rsidR="00D13E44">
        <w:rPr>
          <w:rFonts w:ascii="Times New Roman" w:hAnsi="Times New Roman" w:cs="Times New Roman"/>
          <w:kern w:val="24"/>
          <w:sz w:val="24"/>
          <w:szCs w:val="24"/>
        </w:rPr>
        <w:t xml:space="preserve">these rules </w:t>
      </w:r>
      <w:r w:rsidR="00F66DB3">
        <w:rPr>
          <w:rFonts w:ascii="Times New Roman" w:hAnsi="Times New Roman" w:cs="Times New Roman"/>
          <w:kern w:val="24"/>
          <w:sz w:val="24"/>
          <w:szCs w:val="24"/>
        </w:rPr>
        <w:t>out-of-date or even obsolete.</w:t>
      </w:r>
    </w:p>
    <w:p w:rsidR="00054056" w:rsidRDefault="00054056" w:rsidP="001610E3">
      <w:pPr>
        <w:autoSpaceDE w:val="0"/>
        <w:autoSpaceDN w:val="0"/>
        <w:adjustRightInd w:val="0"/>
        <w:spacing w:after="0" w:line="480" w:lineRule="auto"/>
        <w:ind w:firstLine="720"/>
        <w:rPr>
          <w:rFonts w:ascii="Times New Roman" w:hAnsi="Times New Roman" w:cs="Times New Roman"/>
          <w:kern w:val="24"/>
          <w:sz w:val="24"/>
          <w:szCs w:val="24"/>
        </w:rPr>
      </w:pPr>
    </w:p>
    <w:p w:rsidR="00E92FE7" w:rsidRPr="0078420B" w:rsidRDefault="00054056" w:rsidP="0078420B">
      <w:pPr>
        <w:pStyle w:val="ListParagraph"/>
        <w:numPr>
          <w:ilvl w:val="0"/>
          <w:numId w:val="14"/>
        </w:num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kern w:val="24"/>
          <w:sz w:val="24"/>
          <w:szCs w:val="24"/>
          <w:u w:val="single"/>
        </w:rPr>
        <w:t>Self-Regulation</w:t>
      </w:r>
    </w:p>
    <w:p w:rsidR="00944300" w:rsidRDefault="007D192B" w:rsidP="001610E3">
      <w:pPr>
        <w:autoSpaceDE w:val="0"/>
        <w:autoSpaceDN w:val="0"/>
        <w:adjustRightInd w:val="0"/>
        <w:spacing w:after="0" w:line="480" w:lineRule="auto"/>
        <w:ind w:firstLine="720"/>
        <w:rPr>
          <w:rFonts w:ascii="Times New Roman" w:hAnsi="Times New Roman" w:cs="Times New Roman"/>
          <w:kern w:val="24"/>
          <w:sz w:val="24"/>
          <w:szCs w:val="24"/>
        </w:rPr>
      </w:pPr>
      <w:r w:rsidRPr="00054056">
        <w:rPr>
          <w:rFonts w:ascii="Times New Roman" w:hAnsi="Times New Roman" w:cs="Times New Roman"/>
          <w:kern w:val="24"/>
          <w:sz w:val="24"/>
          <w:szCs w:val="24"/>
        </w:rPr>
        <w:t>It is for the</w:t>
      </w:r>
      <w:r w:rsidR="00C624CC" w:rsidRPr="00054056">
        <w:rPr>
          <w:rFonts w:ascii="Times New Roman" w:hAnsi="Times New Roman" w:cs="Times New Roman"/>
          <w:kern w:val="24"/>
          <w:sz w:val="24"/>
          <w:szCs w:val="24"/>
        </w:rPr>
        <w:t>s</w:t>
      </w:r>
      <w:r w:rsidRPr="00054056">
        <w:rPr>
          <w:rFonts w:ascii="Times New Roman" w:hAnsi="Times New Roman" w:cs="Times New Roman"/>
          <w:kern w:val="24"/>
          <w:sz w:val="24"/>
          <w:szCs w:val="24"/>
        </w:rPr>
        <w:t>e</w:t>
      </w:r>
      <w:r w:rsidR="00C624CC" w:rsidRPr="00054056">
        <w:rPr>
          <w:rFonts w:ascii="Times New Roman" w:hAnsi="Times New Roman" w:cs="Times New Roman"/>
          <w:kern w:val="24"/>
          <w:sz w:val="24"/>
          <w:szCs w:val="24"/>
        </w:rPr>
        <w:t xml:space="preserve"> reason</w:t>
      </w:r>
      <w:r w:rsidRPr="00054056">
        <w:rPr>
          <w:rFonts w:ascii="Times New Roman" w:hAnsi="Times New Roman" w:cs="Times New Roman"/>
          <w:kern w:val="24"/>
          <w:sz w:val="24"/>
          <w:szCs w:val="24"/>
        </w:rPr>
        <w:t>s</w:t>
      </w:r>
      <w:r w:rsidR="00C624CC" w:rsidRPr="00054056">
        <w:rPr>
          <w:rFonts w:ascii="Times New Roman" w:hAnsi="Times New Roman" w:cs="Times New Roman"/>
          <w:kern w:val="24"/>
          <w:sz w:val="24"/>
          <w:szCs w:val="24"/>
        </w:rPr>
        <w:t xml:space="preserve"> that some </w:t>
      </w:r>
      <w:r w:rsidR="00D13E44" w:rsidRPr="00054056">
        <w:rPr>
          <w:rFonts w:ascii="Times New Roman" w:hAnsi="Times New Roman" w:cs="Times New Roman"/>
          <w:kern w:val="24"/>
          <w:sz w:val="24"/>
          <w:szCs w:val="24"/>
        </w:rPr>
        <w:t xml:space="preserve">consider </w:t>
      </w:r>
      <w:r w:rsidR="00E60D55" w:rsidRPr="00054056">
        <w:rPr>
          <w:rFonts w:ascii="Times New Roman" w:hAnsi="Times New Roman" w:cs="Times New Roman"/>
          <w:kern w:val="24"/>
          <w:sz w:val="24"/>
          <w:szCs w:val="24"/>
        </w:rPr>
        <w:t>self-regulation to be the best approach to privacy governance.</w:t>
      </w:r>
      <w:r w:rsidR="00C95E6F">
        <w:rPr>
          <w:rStyle w:val="FootnoteReference"/>
          <w:rFonts w:ascii="Times New Roman" w:hAnsi="Times New Roman" w:cs="Times New Roman"/>
          <w:kern w:val="24"/>
          <w:sz w:val="24"/>
          <w:szCs w:val="24"/>
        </w:rPr>
        <w:footnoteReference w:id="81"/>
      </w:r>
      <w:r w:rsidR="007732D2">
        <w:rPr>
          <w:rFonts w:ascii="Times New Roman" w:hAnsi="Times New Roman" w:cs="Times New Roman"/>
          <w:kern w:val="24"/>
          <w:sz w:val="24"/>
          <w:szCs w:val="24"/>
        </w:rPr>
        <w:t xml:space="preserve"> </w:t>
      </w:r>
      <w:r w:rsidR="00E60D55">
        <w:rPr>
          <w:rFonts w:ascii="Times New Roman" w:hAnsi="Times New Roman" w:cs="Times New Roman"/>
          <w:kern w:val="24"/>
          <w:sz w:val="24"/>
          <w:szCs w:val="24"/>
        </w:rPr>
        <w:t xml:space="preserve">They </w:t>
      </w:r>
      <w:r w:rsidR="00835A54">
        <w:rPr>
          <w:rFonts w:ascii="Times New Roman" w:hAnsi="Times New Roman" w:cs="Times New Roman"/>
          <w:kern w:val="24"/>
          <w:sz w:val="24"/>
          <w:szCs w:val="24"/>
        </w:rPr>
        <w:t xml:space="preserve">maintain </w:t>
      </w:r>
      <w:r w:rsidR="00E60D55">
        <w:rPr>
          <w:rFonts w:ascii="Times New Roman" w:hAnsi="Times New Roman" w:cs="Times New Roman"/>
          <w:kern w:val="24"/>
          <w:sz w:val="24"/>
          <w:szCs w:val="24"/>
        </w:rPr>
        <w:t xml:space="preserve">that </w:t>
      </w:r>
      <w:r w:rsidR="00AC2F4D">
        <w:rPr>
          <w:rFonts w:ascii="Times New Roman" w:hAnsi="Times New Roman" w:cs="Times New Roman"/>
          <w:kern w:val="24"/>
          <w:sz w:val="24"/>
          <w:szCs w:val="24"/>
        </w:rPr>
        <w:t>s</w:t>
      </w:r>
      <w:r w:rsidR="00835A54" w:rsidRPr="00AC2F4D">
        <w:rPr>
          <w:rFonts w:ascii="Times New Roman" w:hAnsi="Times New Roman" w:cs="Times New Roman"/>
          <w:kern w:val="24"/>
          <w:sz w:val="24"/>
          <w:szCs w:val="24"/>
        </w:rPr>
        <w:t xml:space="preserve">elf-regulation, which </w:t>
      </w:r>
      <w:r>
        <w:rPr>
          <w:rFonts w:ascii="Times New Roman" w:hAnsi="Times New Roman" w:cs="Times New Roman"/>
          <w:kern w:val="24"/>
          <w:sz w:val="24"/>
          <w:szCs w:val="24"/>
        </w:rPr>
        <w:t xml:space="preserve">comes from industry itself and so </w:t>
      </w:r>
      <w:r w:rsidR="002E3F89" w:rsidRPr="00AC2F4D">
        <w:rPr>
          <w:rFonts w:ascii="Times New Roman" w:hAnsi="Times New Roman" w:cs="Times New Roman"/>
          <w:kern w:val="24"/>
          <w:sz w:val="24"/>
          <w:szCs w:val="24"/>
        </w:rPr>
        <w:t xml:space="preserve">is able to tap into </w:t>
      </w:r>
      <w:r>
        <w:rPr>
          <w:rFonts w:ascii="Times New Roman" w:hAnsi="Times New Roman" w:cs="Times New Roman"/>
          <w:kern w:val="24"/>
          <w:sz w:val="24"/>
          <w:szCs w:val="24"/>
        </w:rPr>
        <w:t xml:space="preserve">business </w:t>
      </w:r>
      <w:r w:rsidR="00835A54" w:rsidRPr="00AC2F4D">
        <w:rPr>
          <w:rFonts w:ascii="Times New Roman" w:hAnsi="Times New Roman" w:cs="Times New Roman"/>
          <w:kern w:val="24"/>
          <w:sz w:val="24"/>
          <w:szCs w:val="24"/>
        </w:rPr>
        <w:t>knowledge, is</w:t>
      </w:r>
      <w:r w:rsidR="00725477" w:rsidRPr="00AC2F4D">
        <w:rPr>
          <w:rFonts w:ascii="Times New Roman" w:hAnsi="Times New Roman" w:cs="Times New Roman"/>
          <w:kern w:val="24"/>
          <w:sz w:val="24"/>
          <w:szCs w:val="24"/>
        </w:rPr>
        <w:t xml:space="preserve"> </w:t>
      </w:r>
      <w:r w:rsidR="00835A54" w:rsidRPr="00AC2F4D">
        <w:rPr>
          <w:rFonts w:ascii="Times New Roman" w:hAnsi="Times New Roman" w:cs="Times New Roman"/>
          <w:kern w:val="24"/>
          <w:sz w:val="24"/>
          <w:szCs w:val="24"/>
        </w:rPr>
        <w:t xml:space="preserve">more likely to </w:t>
      </w:r>
      <w:r w:rsidR="00ED61AA" w:rsidRPr="00AC2F4D">
        <w:rPr>
          <w:rFonts w:ascii="Times New Roman" w:hAnsi="Times New Roman" w:cs="Times New Roman"/>
          <w:kern w:val="24"/>
          <w:sz w:val="24"/>
          <w:szCs w:val="24"/>
        </w:rPr>
        <w:t xml:space="preserve">produce intelligent and effective rules than </w:t>
      </w:r>
      <w:r w:rsidR="00835A54" w:rsidRPr="00AC2F4D">
        <w:rPr>
          <w:rFonts w:ascii="Times New Roman" w:hAnsi="Times New Roman" w:cs="Times New Roman"/>
          <w:kern w:val="24"/>
          <w:sz w:val="24"/>
          <w:szCs w:val="24"/>
        </w:rPr>
        <w:t>government regulation</w:t>
      </w:r>
      <w:r w:rsidR="00ED61AA" w:rsidRPr="00AC2F4D">
        <w:rPr>
          <w:rFonts w:ascii="Times New Roman" w:hAnsi="Times New Roman" w:cs="Times New Roman"/>
          <w:kern w:val="24"/>
          <w:sz w:val="24"/>
          <w:szCs w:val="24"/>
        </w:rPr>
        <w:t>.</w:t>
      </w:r>
      <w:r w:rsidR="007732D2">
        <w:rPr>
          <w:rStyle w:val="FootnoteReference"/>
          <w:rFonts w:ascii="Times New Roman" w:hAnsi="Times New Roman" w:cs="Times New Roman"/>
          <w:kern w:val="24"/>
          <w:sz w:val="24"/>
          <w:szCs w:val="24"/>
        </w:rPr>
        <w:footnoteReference w:id="82"/>
      </w:r>
      <w:r w:rsidR="007732D2">
        <w:rPr>
          <w:rFonts w:ascii="Times New Roman" w:hAnsi="Times New Roman" w:cs="Times New Roman"/>
          <w:kern w:val="24"/>
          <w:sz w:val="24"/>
          <w:szCs w:val="24"/>
        </w:rPr>
        <w:t xml:space="preserve"> </w:t>
      </w:r>
      <w:r w:rsidR="00AC2F4D">
        <w:rPr>
          <w:rFonts w:ascii="Times New Roman" w:hAnsi="Times New Roman" w:cs="Times New Roman"/>
          <w:kern w:val="24"/>
          <w:sz w:val="24"/>
          <w:szCs w:val="24"/>
        </w:rPr>
        <w:t>The</w:t>
      </w:r>
      <w:r w:rsidR="007732D2">
        <w:rPr>
          <w:rFonts w:ascii="Times New Roman" w:hAnsi="Times New Roman" w:cs="Times New Roman"/>
          <w:kern w:val="24"/>
          <w:sz w:val="24"/>
          <w:szCs w:val="24"/>
        </w:rPr>
        <w:t>y</w:t>
      </w:r>
      <w:r w:rsidR="00AC2F4D">
        <w:rPr>
          <w:rFonts w:ascii="Times New Roman" w:hAnsi="Times New Roman" w:cs="Times New Roman"/>
          <w:kern w:val="24"/>
          <w:sz w:val="24"/>
          <w:szCs w:val="24"/>
        </w:rPr>
        <w:t xml:space="preserve"> further argue that </w:t>
      </w:r>
      <w:r w:rsidR="00E02438">
        <w:rPr>
          <w:rFonts w:ascii="Times New Roman" w:hAnsi="Times New Roman" w:cs="Times New Roman"/>
          <w:kern w:val="24"/>
          <w:sz w:val="24"/>
          <w:szCs w:val="24"/>
        </w:rPr>
        <w:t xml:space="preserve">self-regulatory bodies, which do not </w:t>
      </w:r>
      <w:r w:rsidR="002E3F89">
        <w:rPr>
          <w:rFonts w:ascii="Times New Roman" w:hAnsi="Times New Roman" w:cs="Times New Roman"/>
          <w:kern w:val="24"/>
          <w:sz w:val="24"/>
          <w:szCs w:val="24"/>
        </w:rPr>
        <w:t xml:space="preserve">need to comply with notice-and-comment procedures and other legal requirements, should be able to update </w:t>
      </w:r>
      <w:r w:rsidR="00E02438">
        <w:rPr>
          <w:rFonts w:ascii="Times New Roman" w:hAnsi="Times New Roman" w:cs="Times New Roman"/>
          <w:kern w:val="24"/>
          <w:sz w:val="24"/>
          <w:szCs w:val="24"/>
        </w:rPr>
        <w:t xml:space="preserve">their </w:t>
      </w:r>
      <w:r w:rsidR="002E3F89">
        <w:rPr>
          <w:rFonts w:ascii="Times New Roman" w:hAnsi="Times New Roman" w:cs="Times New Roman"/>
          <w:kern w:val="24"/>
          <w:sz w:val="24"/>
          <w:szCs w:val="24"/>
        </w:rPr>
        <w:t>rules far more quickly than government regulators can.</w:t>
      </w:r>
      <w:r w:rsidR="00944300">
        <w:rPr>
          <w:rStyle w:val="FootnoteReference"/>
          <w:rFonts w:ascii="Times New Roman" w:hAnsi="Times New Roman" w:cs="Times New Roman"/>
          <w:kern w:val="24"/>
          <w:sz w:val="24"/>
          <w:szCs w:val="24"/>
        </w:rPr>
        <w:footnoteReference w:id="83"/>
      </w:r>
      <w:r w:rsidR="007732D2">
        <w:rPr>
          <w:rFonts w:ascii="Times New Roman" w:hAnsi="Times New Roman" w:cs="Times New Roman"/>
          <w:kern w:val="24"/>
          <w:sz w:val="24"/>
          <w:szCs w:val="24"/>
        </w:rPr>
        <w:t xml:space="preserve"> </w:t>
      </w:r>
      <w:r w:rsidR="002E3F89">
        <w:rPr>
          <w:rFonts w:ascii="Times New Roman" w:hAnsi="Times New Roman" w:cs="Times New Roman"/>
          <w:kern w:val="24"/>
          <w:sz w:val="24"/>
          <w:szCs w:val="24"/>
        </w:rPr>
        <w:t>Self-regulation should therefore do a better job of keeping pace with rapidly evolving technological and business realities.</w:t>
      </w:r>
      <w:r w:rsidR="00944300">
        <w:rPr>
          <w:rFonts w:ascii="Times New Roman" w:hAnsi="Times New Roman" w:cs="Times New Roman"/>
          <w:kern w:val="24"/>
          <w:sz w:val="24"/>
          <w:szCs w:val="24"/>
        </w:rPr>
        <w:t xml:space="preserve"> </w:t>
      </w:r>
      <w:r w:rsidR="005A09B7">
        <w:rPr>
          <w:rFonts w:ascii="Times New Roman" w:hAnsi="Times New Roman" w:cs="Times New Roman"/>
          <w:kern w:val="24"/>
          <w:sz w:val="24"/>
          <w:szCs w:val="24"/>
        </w:rPr>
        <w:t>Finally, proponents of self-regulat</w:t>
      </w:r>
      <w:r w:rsidR="003C6F69">
        <w:rPr>
          <w:rFonts w:ascii="Times New Roman" w:hAnsi="Times New Roman" w:cs="Times New Roman"/>
          <w:kern w:val="24"/>
          <w:sz w:val="24"/>
          <w:szCs w:val="24"/>
        </w:rPr>
        <w:t>ion maintain that companies, which</w:t>
      </w:r>
      <w:r w:rsidR="005A09B7">
        <w:rPr>
          <w:rFonts w:ascii="Times New Roman" w:hAnsi="Times New Roman" w:cs="Times New Roman"/>
          <w:kern w:val="24"/>
          <w:sz w:val="24"/>
          <w:szCs w:val="24"/>
        </w:rPr>
        <w:t xml:space="preserve"> often resist government-imposed rules, will be more likely to accept rules that they and their peers have drafted.</w:t>
      </w:r>
      <w:r w:rsidR="00944300">
        <w:rPr>
          <w:rStyle w:val="FootnoteReference"/>
          <w:rFonts w:ascii="Times New Roman" w:hAnsi="Times New Roman" w:cs="Times New Roman"/>
          <w:kern w:val="24"/>
          <w:sz w:val="24"/>
          <w:szCs w:val="24"/>
        </w:rPr>
        <w:footnoteReference w:id="84"/>
      </w:r>
      <w:r w:rsidR="00944300">
        <w:rPr>
          <w:rFonts w:ascii="Times New Roman" w:hAnsi="Times New Roman" w:cs="Times New Roman"/>
          <w:kern w:val="24"/>
          <w:sz w:val="24"/>
          <w:szCs w:val="24"/>
        </w:rPr>
        <w:t xml:space="preserve"> </w:t>
      </w:r>
      <w:r w:rsidR="005A09B7">
        <w:rPr>
          <w:rFonts w:ascii="Times New Roman" w:hAnsi="Times New Roman" w:cs="Times New Roman"/>
          <w:kern w:val="24"/>
          <w:sz w:val="24"/>
          <w:szCs w:val="24"/>
        </w:rPr>
        <w:t>Self-regulation will accordingly promote greater industry buy-in and compliance.</w:t>
      </w:r>
    </w:p>
    <w:p w:rsidR="00C650B2" w:rsidRDefault="00725477"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Companies can use self-regulation to establish cross-border privacy rules.</w:t>
      </w:r>
      <w:r w:rsidR="00944300">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Indeed, </w:t>
      </w:r>
      <w:r w:rsidR="00AC2F4D">
        <w:rPr>
          <w:rFonts w:ascii="Times New Roman" w:hAnsi="Times New Roman" w:cs="Times New Roman"/>
          <w:kern w:val="24"/>
          <w:sz w:val="24"/>
          <w:szCs w:val="24"/>
        </w:rPr>
        <w:t>this has already occurred in at least two contexts.</w:t>
      </w:r>
      <w:r w:rsidR="00944300">
        <w:rPr>
          <w:rFonts w:ascii="Times New Roman" w:hAnsi="Times New Roman" w:cs="Times New Roman"/>
          <w:kern w:val="24"/>
          <w:sz w:val="24"/>
          <w:szCs w:val="24"/>
        </w:rPr>
        <w:t xml:space="preserve"> </w:t>
      </w:r>
      <w:r w:rsidR="00AC2F4D">
        <w:rPr>
          <w:rFonts w:ascii="Times New Roman" w:hAnsi="Times New Roman" w:cs="Times New Roman"/>
          <w:kern w:val="24"/>
          <w:sz w:val="24"/>
          <w:szCs w:val="24"/>
        </w:rPr>
        <w:t>S</w:t>
      </w:r>
      <w:r w:rsidRPr="00AC2F4D">
        <w:rPr>
          <w:rFonts w:ascii="Times New Roman" w:hAnsi="Times New Roman" w:cs="Times New Roman"/>
          <w:kern w:val="24"/>
          <w:sz w:val="24"/>
          <w:szCs w:val="24"/>
        </w:rPr>
        <w:t xml:space="preserve">ome multi-national corporations </w:t>
      </w:r>
      <w:r w:rsidR="00FF38B6">
        <w:rPr>
          <w:rFonts w:ascii="Times New Roman" w:hAnsi="Times New Roman" w:cs="Times New Roman"/>
          <w:kern w:val="24"/>
          <w:sz w:val="24"/>
          <w:szCs w:val="24"/>
        </w:rPr>
        <w:t xml:space="preserve">establish </w:t>
      </w:r>
      <w:r w:rsidRPr="00AC2F4D">
        <w:rPr>
          <w:rFonts w:ascii="Times New Roman" w:hAnsi="Times New Roman" w:cs="Times New Roman"/>
          <w:kern w:val="24"/>
          <w:sz w:val="24"/>
          <w:szCs w:val="24"/>
        </w:rPr>
        <w:t xml:space="preserve">corporate privacy policies designed to meet legal requirements in all the jurisdictions in which </w:t>
      </w:r>
      <w:r w:rsidRPr="00AC2F4D">
        <w:rPr>
          <w:rFonts w:ascii="Times New Roman" w:hAnsi="Times New Roman" w:cs="Times New Roman"/>
          <w:kern w:val="24"/>
          <w:sz w:val="24"/>
          <w:szCs w:val="24"/>
        </w:rPr>
        <w:lastRenderedPageBreak/>
        <w:t>they operate</w:t>
      </w:r>
      <w:r w:rsidR="00FF38B6">
        <w:rPr>
          <w:rFonts w:ascii="Times New Roman" w:hAnsi="Times New Roman" w:cs="Times New Roman"/>
          <w:kern w:val="24"/>
          <w:sz w:val="24"/>
          <w:szCs w:val="24"/>
        </w:rPr>
        <w:t>, and require each of their units to comply with them</w:t>
      </w:r>
      <w:r w:rsidRPr="00AC2F4D">
        <w:rPr>
          <w:rFonts w:ascii="Times New Roman" w:hAnsi="Times New Roman" w:cs="Times New Roman"/>
          <w:kern w:val="24"/>
          <w:sz w:val="24"/>
          <w:szCs w:val="24"/>
        </w:rPr>
        <w:t>.</w:t>
      </w:r>
      <w:r>
        <w:rPr>
          <w:rStyle w:val="FootnoteReference"/>
          <w:rFonts w:ascii="Times New Roman" w:hAnsi="Times New Roman" w:cs="Times New Roman"/>
          <w:kern w:val="24"/>
          <w:sz w:val="24"/>
          <w:szCs w:val="24"/>
        </w:rPr>
        <w:footnoteReference w:id="85"/>
      </w:r>
      <w:r w:rsidR="00944300">
        <w:rPr>
          <w:rFonts w:ascii="Times New Roman" w:hAnsi="Times New Roman" w:cs="Times New Roman"/>
          <w:kern w:val="24"/>
          <w:sz w:val="24"/>
          <w:szCs w:val="24"/>
        </w:rPr>
        <w:t xml:space="preserve"> </w:t>
      </w:r>
      <w:r w:rsidR="00E02688">
        <w:rPr>
          <w:rFonts w:ascii="Times New Roman" w:hAnsi="Times New Roman" w:cs="Times New Roman"/>
          <w:kern w:val="24"/>
          <w:sz w:val="24"/>
          <w:szCs w:val="24"/>
        </w:rPr>
        <w:t xml:space="preserve">This is a form of cross-border </w:t>
      </w:r>
      <w:r w:rsidR="00E02438">
        <w:rPr>
          <w:rFonts w:ascii="Times New Roman" w:hAnsi="Times New Roman" w:cs="Times New Roman"/>
          <w:kern w:val="24"/>
          <w:sz w:val="24"/>
          <w:szCs w:val="24"/>
        </w:rPr>
        <w:t xml:space="preserve">privacy </w:t>
      </w:r>
      <w:r w:rsidR="00CD6ECC">
        <w:rPr>
          <w:rFonts w:ascii="Times New Roman" w:hAnsi="Times New Roman" w:cs="Times New Roman"/>
          <w:kern w:val="24"/>
          <w:sz w:val="24"/>
          <w:szCs w:val="24"/>
        </w:rPr>
        <w:t>self-regulation</w:t>
      </w:r>
      <w:r w:rsidR="00FF38B6">
        <w:rPr>
          <w:rFonts w:ascii="Times New Roman" w:hAnsi="Times New Roman" w:cs="Times New Roman"/>
          <w:kern w:val="24"/>
          <w:sz w:val="24"/>
          <w:szCs w:val="24"/>
        </w:rPr>
        <w:t xml:space="preserve"> at the level of the individual firm</w:t>
      </w:r>
      <w:r w:rsidR="00CD6ECC">
        <w:rPr>
          <w:rFonts w:ascii="Times New Roman" w:hAnsi="Times New Roman" w:cs="Times New Roman"/>
          <w:kern w:val="24"/>
          <w:sz w:val="24"/>
          <w:szCs w:val="24"/>
        </w:rPr>
        <w:t>.</w:t>
      </w:r>
    </w:p>
    <w:p w:rsidR="007B773F" w:rsidRDefault="00C06E70"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In 2000</w:t>
      </w:r>
      <w:r w:rsidR="000E0657">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the International Commerce Exchange (ICX) </w:t>
      </w:r>
      <w:r w:rsidR="00FF38B6">
        <w:rPr>
          <w:rFonts w:ascii="Times New Roman" w:hAnsi="Times New Roman" w:cs="Times New Roman"/>
          <w:kern w:val="24"/>
          <w:sz w:val="24"/>
          <w:szCs w:val="24"/>
        </w:rPr>
        <w:t xml:space="preserve">sought to do the same </w:t>
      </w:r>
      <w:r w:rsidR="00C650B2">
        <w:rPr>
          <w:rFonts w:ascii="Times New Roman" w:hAnsi="Times New Roman" w:cs="Times New Roman"/>
          <w:kern w:val="24"/>
          <w:sz w:val="24"/>
          <w:szCs w:val="24"/>
        </w:rPr>
        <w:t xml:space="preserve">thing on a much broader scale. </w:t>
      </w:r>
      <w:r w:rsidR="00684522">
        <w:rPr>
          <w:rFonts w:ascii="Times New Roman" w:hAnsi="Times New Roman" w:cs="Times New Roman"/>
          <w:kern w:val="24"/>
          <w:sz w:val="24"/>
          <w:szCs w:val="24"/>
        </w:rPr>
        <w:t xml:space="preserve">It </w:t>
      </w:r>
      <w:r w:rsidR="003C6F69">
        <w:rPr>
          <w:rFonts w:ascii="Times New Roman" w:hAnsi="Times New Roman" w:cs="Times New Roman"/>
          <w:kern w:val="24"/>
          <w:sz w:val="24"/>
          <w:szCs w:val="24"/>
        </w:rPr>
        <w:t xml:space="preserve">drafted </w:t>
      </w:r>
      <w:r w:rsidR="001B31B4">
        <w:rPr>
          <w:rFonts w:ascii="Times New Roman" w:hAnsi="Times New Roman" w:cs="Times New Roman"/>
          <w:kern w:val="24"/>
          <w:sz w:val="24"/>
          <w:szCs w:val="24"/>
        </w:rPr>
        <w:t xml:space="preserve">a privacy code of conduct </w:t>
      </w:r>
      <w:r w:rsidR="003C6F69">
        <w:rPr>
          <w:rFonts w:ascii="Times New Roman" w:hAnsi="Times New Roman" w:cs="Times New Roman"/>
          <w:kern w:val="24"/>
          <w:sz w:val="24"/>
          <w:szCs w:val="24"/>
        </w:rPr>
        <w:t xml:space="preserve">designed to meet </w:t>
      </w:r>
      <w:r w:rsidR="001B31B4">
        <w:rPr>
          <w:rFonts w:ascii="Times New Roman" w:hAnsi="Times New Roman" w:cs="Times New Roman"/>
          <w:kern w:val="24"/>
          <w:sz w:val="24"/>
          <w:szCs w:val="24"/>
        </w:rPr>
        <w:t xml:space="preserve">the requirements of the </w:t>
      </w:r>
      <w:r w:rsidR="001C6D99">
        <w:rPr>
          <w:rFonts w:ascii="Times New Roman" w:hAnsi="Times New Roman" w:cs="Times New Roman"/>
          <w:kern w:val="24"/>
          <w:sz w:val="24"/>
          <w:szCs w:val="24"/>
        </w:rPr>
        <w:t>E.U.</w:t>
      </w:r>
      <w:r w:rsidR="00684522">
        <w:rPr>
          <w:rFonts w:ascii="Times New Roman" w:hAnsi="Times New Roman" w:cs="Times New Roman"/>
          <w:kern w:val="24"/>
          <w:sz w:val="24"/>
          <w:szCs w:val="24"/>
        </w:rPr>
        <w:t>’s 1995 Data Protection Directive.</w:t>
      </w:r>
      <w:r w:rsidR="00D60CF8">
        <w:rPr>
          <w:rStyle w:val="FootnoteReference"/>
          <w:rFonts w:ascii="Times New Roman" w:hAnsi="Times New Roman" w:cs="Times New Roman"/>
          <w:kern w:val="24"/>
          <w:sz w:val="24"/>
          <w:szCs w:val="24"/>
        </w:rPr>
        <w:footnoteReference w:id="86"/>
      </w:r>
      <w:r w:rsidR="00684522">
        <w:rPr>
          <w:rFonts w:ascii="Times New Roman" w:hAnsi="Times New Roman" w:cs="Times New Roman"/>
          <w:kern w:val="24"/>
          <w:sz w:val="24"/>
          <w:szCs w:val="24"/>
        </w:rPr>
        <w:t xml:space="preserve"> It hoped </w:t>
      </w:r>
      <w:r w:rsidR="00F543D0">
        <w:rPr>
          <w:rFonts w:ascii="Times New Roman" w:hAnsi="Times New Roman" w:cs="Times New Roman"/>
          <w:kern w:val="24"/>
          <w:sz w:val="24"/>
          <w:szCs w:val="24"/>
        </w:rPr>
        <w:t xml:space="preserve">to convince officials </w:t>
      </w:r>
      <w:r w:rsidR="00DA7877">
        <w:rPr>
          <w:rFonts w:ascii="Times New Roman" w:hAnsi="Times New Roman" w:cs="Times New Roman"/>
          <w:kern w:val="24"/>
          <w:sz w:val="24"/>
          <w:szCs w:val="24"/>
        </w:rPr>
        <w:t xml:space="preserve">at the level of the </w:t>
      </w:r>
      <w:r w:rsidR="00684522">
        <w:rPr>
          <w:rFonts w:ascii="Times New Roman" w:hAnsi="Times New Roman" w:cs="Times New Roman"/>
          <w:kern w:val="24"/>
          <w:sz w:val="24"/>
          <w:szCs w:val="24"/>
        </w:rPr>
        <w:t xml:space="preserve">European Commission </w:t>
      </w:r>
      <w:r w:rsidR="00F543D0">
        <w:rPr>
          <w:rFonts w:ascii="Times New Roman" w:hAnsi="Times New Roman" w:cs="Times New Roman"/>
          <w:kern w:val="24"/>
          <w:sz w:val="24"/>
          <w:szCs w:val="24"/>
        </w:rPr>
        <w:t xml:space="preserve">that </w:t>
      </w:r>
      <w:r w:rsidR="00684522">
        <w:rPr>
          <w:rFonts w:ascii="Times New Roman" w:hAnsi="Times New Roman" w:cs="Times New Roman"/>
          <w:kern w:val="24"/>
          <w:sz w:val="24"/>
          <w:szCs w:val="24"/>
        </w:rPr>
        <w:t>the code constitute</w:t>
      </w:r>
      <w:r w:rsidR="00F543D0">
        <w:rPr>
          <w:rFonts w:ascii="Times New Roman" w:hAnsi="Times New Roman" w:cs="Times New Roman"/>
          <w:kern w:val="24"/>
          <w:sz w:val="24"/>
          <w:szCs w:val="24"/>
        </w:rPr>
        <w:t>d</w:t>
      </w:r>
      <w:r w:rsidR="00684522">
        <w:rPr>
          <w:rFonts w:ascii="Times New Roman" w:hAnsi="Times New Roman" w:cs="Times New Roman"/>
          <w:kern w:val="24"/>
          <w:sz w:val="24"/>
          <w:szCs w:val="24"/>
        </w:rPr>
        <w:t xml:space="preserve"> “adequate” protection for the purposes of the Directive</w:t>
      </w:r>
      <w:r w:rsidR="00F543D0">
        <w:rPr>
          <w:rFonts w:ascii="Times New Roman" w:hAnsi="Times New Roman" w:cs="Times New Roman"/>
          <w:kern w:val="24"/>
          <w:sz w:val="24"/>
          <w:szCs w:val="24"/>
        </w:rPr>
        <w:t>, and to have them approve it</w:t>
      </w:r>
      <w:r w:rsidR="00684522">
        <w:rPr>
          <w:rFonts w:ascii="Times New Roman" w:hAnsi="Times New Roman" w:cs="Times New Roman"/>
          <w:kern w:val="24"/>
          <w:sz w:val="24"/>
          <w:szCs w:val="24"/>
        </w:rPr>
        <w:t>.</w:t>
      </w:r>
      <w:r w:rsidR="00354C24">
        <w:rPr>
          <w:rStyle w:val="FootnoteReference"/>
          <w:rFonts w:ascii="Times New Roman" w:hAnsi="Times New Roman" w:cs="Times New Roman"/>
          <w:kern w:val="24"/>
          <w:sz w:val="24"/>
          <w:szCs w:val="24"/>
        </w:rPr>
        <w:footnoteReference w:id="87"/>
      </w:r>
      <w:r w:rsidR="00C650B2">
        <w:rPr>
          <w:rFonts w:ascii="Times New Roman" w:hAnsi="Times New Roman" w:cs="Times New Roman"/>
          <w:kern w:val="24"/>
          <w:sz w:val="24"/>
          <w:szCs w:val="24"/>
        </w:rPr>
        <w:t xml:space="preserve"> </w:t>
      </w:r>
      <w:r w:rsidR="00F543D0">
        <w:rPr>
          <w:rFonts w:ascii="Times New Roman" w:hAnsi="Times New Roman" w:cs="Times New Roman"/>
          <w:kern w:val="24"/>
          <w:sz w:val="24"/>
          <w:szCs w:val="24"/>
        </w:rPr>
        <w:t xml:space="preserve">With such approval in hand, </w:t>
      </w:r>
      <w:r w:rsidR="007D14E6">
        <w:rPr>
          <w:rFonts w:ascii="Times New Roman" w:hAnsi="Times New Roman" w:cs="Times New Roman"/>
          <w:kern w:val="24"/>
          <w:sz w:val="24"/>
          <w:szCs w:val="24"/>
        </w:rPr>
        <w:t>companies</w:t>
      </w:r>
      <w:r w:rsidR="00F543D0">
        <w:rPr>
          <w:rFonts w:ascii="Times New Roman" w:hAnsi="Times New Roman" w:cs="Times New Roman"/>
          <w:kern w:val="24"/>
          <w:sz w:val="24"/>
          <w:szCs w:val="24"/>
        </w:rPr>
        <w:t xml:space="preserve"> </w:t>
      </w:r>
      <w:r w:rsidR="007D14E6">
        <w:rPr>
          <w:rFonts w:ascii="Times New Roman" w:hAnsi="Times New Roman" w:cs="Times New Roman"/>
          <w:kern w:val="24"/>
          <w:sz w:val="24"/>
          <w:szCs w:val="24"/>
        </w:rPr>
        <w:t>from any economic sector</w:t>
      </w:r>
      <w:r w:rsidR="00F543D0">
        <w:rPr>
          <w:rFonts w:ascii="Times New Roman" w:hAnsi="Times New Roman" w:cs="Times New Roman"/>
          <w:kern w:val="24"/>
          <w:sz w:val="24"/>
          <w:szCs w:val="24"/>
        </w:rPr>
        <w:t xml:space="preserve"> of the economy </w:t>
      </w:r>
      <w:r w:rsidR="007D14E6" w:rsidRPr="007D14E6">
        <w:rPr>
          <w:rFonts w:ascii="Times New Roman" w:hAnsi="Times New Roman" w:cs="Times New Roman"/>
          <w:kern w:val="24"/>
          <w:sz w:val="24"/>
          <w:szCs w:val="24"/>
        </w:rPr>
        <w:t xml:space="preserve">that </w:t>
      </w:r>
      <w:r w:rsidR="00684522" w:rsidRPr="007D14E6">
        <w:rPr>
          <w:rFonts w:ascii="Times New Roman" w:hAnsi="Times New Roman" w:cs="Times New Roman"/>
          <w:kern w:val="24"/>
          <w:sz w:val="24"/>
          <w:szCs w:val="24"/>
        </w:rPr>
        <w:t>complied with the code</w:t>
      </w:r>
      <w:r w:rsidR="007D14E6" w:rsidRPr="007D14E6">
        <w:rPr>
          <w:rFonts w:ascii="Times New Roman" w:hAnsi="Times New Roman" w:cs="Times New Roman"/>
          <w:kern w:val="24"/>
          <w:sz w:val="24"/>
          <w:szCs w:val="24"/>
        </w:rPr>
        <w:t xml:space="preserve"> </w:t>
      </w:r>
      <w:r w:rsidR="00F543D0">
        <w:rPr>
          <w:rFonts w:ascii="Times New Roman" w:hAnsi="Times New Roman" w:cs="Times New Roman"/>
          <w:kern w:val="24"/>
          <w:sz w:val="24"/>
          <w:szCs w:val="24"/>
        </w:rPr>
        <w:t xml:space="preserve">could </w:t>
      </w:r>
      <w:r w:rsidR="007D14E6" w:rsidRPr="007D14E6">
        <w:rPr>
          <w:rFonts w:ascii="Times New Roman" w:hAnsi="Times New Roman" w:cs="Times New Roman"/>
          <w:kern w:val="24"/>
          <w:sz w:val="24"/>
          <w:szCs w:val="24"/>
        </w:rPr>
        <w:t xml:space="preserve">transfer </w:t>
      </w:r>
      <w:r w:rsidR="001C6D99">
        <w:rPr>
          <w:rFonts w:ascii="Times New Roman" w:hAnsi="Times New Roman" w:cs="Times New Roman"/>
          <w:kern w:val="24"/>
          <w:sz w:val="24"/>
          <w:szCs w:val="24"/>
        </w:rPr>
        <w:t xml:space="preserve">E.U. </w:t>
      </w:r>
      <w:r w:rsidR="00684522" w:rsidRPr="007D14E6">
        <w:rPr>
          <w:rFonts w:ascii="Times New Roman" w:hAnsi="Times New Roman" w:cs="Times New Roman"/>
          <w:kern w:val="24"/>
          <w:sz w:val="24"/>
          <w:szCs w:val="24"/>
        </w:rPr>
        <w:t xml:space="preserve">citizens’ personal information to any location in the world without </w:t>
      </w:r>
      <w:r w:rsidR="00F543D0">
        <w:rPr>
          <w:rFonts w:ascii="Times New Roman" w:hAnsi="Times New Roman" w:cs="Times New Roman"/>
          <w:kern w:val="24"/>
          <w:sz w:val="24"/>
          <w:szCs w:val="24"/>
        </w:rPr>
        <w:t xml:space="preserve">running afoul of </w:t>
      </w:r>
      <w:r w:rsidR="00684522" w:rsidRPr="007D14E6">
        <w:rPr>
          <w:rFonts w:ascii="Times New Roman" w:hAnsi="Times New Roman" w:cs="Times New Roman"/>
          <w:kern w:val="24"/>
          <w:sz w:val="24"/>
          <w:szCs w:val="24"/>
        </w:rPr>
        <w:t xml:space="preserve">the </w:t>
      </w:r>
      <w:r w:rsidR="007D14E6" w:rsidRPr="007D14E6">
        <w:rPr>
          <w:rFonts w:ascii="Times New Roman" w:hAnsi="Times New Roman" w:cs="Times New Roman"/>
          <w:kern w:val="24"/>
          <w:sz w:val="24"/>
          <w:szCs w:val="24"/>
        </w:rPr>
        <w:t>adequacy requirement</w:t>
      </w:r>
      <w:r w:rsidR="00684522" w:rsidRPr="007D14E6">
        <w:rPr>
          <w:rFonts w:ascii="Times New Roman" w:hAnsi="Times New Roman" w:cs="Times New Roman"/>
          <w:kern w:val="24"/>
          <w:sz w:val="24"/>
          <w:szCs w:val="24"/>
        </w:rPr>
        <w:t>.</w:t>
      </w:r>
      <w:r w:rsidR="00354C24">
        <w:rPr>
          <w:rStyle w:val="FootnoteReference"/>
          <w:rFonts w:ascii="Times New Roman" w:hAnsi="Times New Roman" w:cs="Times New Roman"/>
          <w:kern w:val="24"/>
          <w:sz w:val="24"/>
          <w:szCs w:val="24"/>
        </w:rPr>
        <w:footnoteReference w:id="88"/>
      </w:r>
      <w:r w:rsidR="00C650B2">
        <w:rPr>
          <w:rFonts w:ascii="Times New Roman" w:hAnsi="Times New Roman" w:cs="Times New Roman"/>
          <w:kern w:val="24"/>
          <w:sz w:val="24"/>
          <w:szCs w:val="24"/>
        </w:rPr>
        <w:t xml:space="preserve"> S</w:t>
      </w:r>
      <w:r w:rsidR="007D14E6">
        <w:rPr>
          <w:rFonts w:ascii="Times New Roman" w:hAnsi="Times New Roman" w:cs="Times New Roman"/>
          <w:kern w:val="24"/>
          <w:sz w:val="24"/>
          <w:szCs w:val="24"/>
        </w:rPr>
        <w:t xml:space="preserve">uch companies would still have had to comply </w:t>
      </w:r>
      <w:r w:rsidR="00FF38B6">
        <w:rPr>
          <w:rFonts w:ascii="Times New Roman" w:hAnsi="Times New Roman" w:cs="Times New Roman"/>
          <w:kern w:val="24"/>
          <w:sz w:val="24"/>
          <w:szCs w:val="24"/>
        </w:rPr>
        <w:t xml:space="preserve">with the </w:t>
      </w:r>
      <w:r w:rsidR="00E6693A" w:rsidRPr="00FF38B6">
        <w:rPr>
          <w:rFonts w:ascii="Times New Roman" w:hAnsi="Times New Roman" w:cs="Times New Roman"/>
          <w:kern w:val="24"/>
          <w:sz w:val="24"/>
          <w:szCs w:val="24"/>
        </w:rPr>
        <w:t>privacy laws of the non-</w:t>
      </w:r>
      <w:r w:rsidR="001C6D99">
        <w:rPr>
          <w:rFonts w:ascii="Times New Roman" w:hAnsi="Times New Roman" w:cs="Times New Roman"/>
          <w:kern w:val="24"/>
          <w:sz w:val="24"/>
          <w:szCs w:val="24"/>
        </w:rPr>
        <w:t xml:space="preserve">E.U. </w:t>
      </w:r>
      <w:r w:rsidR="00E6693A" w:rsidRPr="00FF38B6">
        <w:rPr>
          <w:rFonts w:ascii="Times New Roman" w:hAnsi="Times New Roman" w:cs="Times New Roman"/>
          <w:kern w:val="24"/>
          <w:sz w:val="24"/>
          <w:szCs w:val="24"/>
        </w:rPr>
        <w:t>countries</w:t>
      </w:r>
      <w:r w:rsidR="00FF38B6">
        <w:rPr>
          <w:rFonts w:ascii="Times New Roman" w:hAnsi="Times New Roman" w:cs="Times New Roman"/>
          <w:kern w:val="24"/>
          <w:sz w:val="24"/>
          <w:szCs w:val="24"/>
        </w:rPr>
        <w:t xml:space="preserve"> to which they were sending the </w:t>
      </w:r>
      <w:r w:rsidR="00F543D0">
        <w:rPr>
          <w:rFonts w:ascii="Times New Roman" w:hAnsi="Times New Roman" w:cs="Times New Roman"/>
          <w:kern w:val="24"/>
          <w:sz w:val="24"/>
          <w:szCs w:val="24"/>
        </w:rPr>
        <w:t>data</w:t>
      </w:r>
      <w:r w:rsidR="00FF38B6">
        <w:rPr>
          <w:rFonts w:ascii="Times New Roman" w:hAnsi="Times New Roman" w:cs="Times New Roman"/>
          <w:kern w:val="24"/>
          <w:sz w:val="24"/>
          <w:szCs w:val="24"/>
        </w:rPr>
        <w:t>.</w:t>
      </w:r>
      <w:r w:rsidR="00C650B2">
        <w:rPr>
          <w:rFonts w:ascii="Times New Roman" w:hAnsi="Times New Roman" w:cs="Times New Roman"/>
          <w:kern w:val="24"/>
          <w:sz w:val="24"/>
          <w:szCs w:val="24"/>
        </w:rPr>
        <w:t xml:space="preserve"> </w:t>
      </w:r>
      <w:r w:rsidR="007D14E6" w:rsidRPr="007D14E6">
        <w:rPr>
          <w:rFonts w:ascii="Times New Roman" w:hAnsi="Times New Roman" w:cs="Times New Roman"/>
          <w:kern w:val="24"/>
          <w:sz w:val="24"/>
          <w:szCs w:val="24"/>
        </w:rPr>
        <w:t xml:space="preserve">But for the purposes of </w:t>
      </w:r>
      <w:r w:rsidR="007D14E6">
        <w:rPr>
          <w:rFonts w:ascii="Times New Roman" w:hAnsi="Times New Roman" w:cs="Times New Roman"/>
          <w:kern w:val="24"/>
          <w:sz w:val="24"/>
          <w:szCs w:val="24"/>
        </w:rPr>
        <w:t xml:space="preserve">the </w:t>
      </w:r>
      <w:r w:rsidR="001C6D99">
        <w:rPr>
          <w:rFonts w:ascii="Times New Roman" w:hAnsi="Times New Roman" w:cs="Times New Roman"/>
          <w:kern w:val="24"/>
          <w:sz w:val="24"/>
          <w:szCs w:val="24"/>
        </w:rPr>
        <w:t xml:space="preserve">E.U. </w:t>
      </w:r>
      <w:r w:rsidR="007D14E6">
        <w:rPr>
          <w:rFonts w:ascii="Times New Roman" w:hAnsi="Times New Roman" w:cs="Times New Roman"/>
          <w:kern w:val="24"/>
          <w:sz w:val="24"/>
          <w:szCs w:val="24"/>
        </w:rPr>
        <w:t xml:space="preserve">adequacy requirement, the ICX code would have provided </w:t>
      </w:r>
      <w:r w:rsidR="00F543D0">
        <w:rPr>
          <w:rFonts w:ascii="Times New Roman" w:hAnsi="Times New Roman" w:cs="Times New Roman"/>
          <w:kern w:val="24"/>
          <w:sz w:val="24"/>
          <w:szCs w:val="24"/>
        </w:rPr>
        <w:t xml:space="preserve">companies </w:t>
      </w:r>
      <w:r w:rsidR="007D14E6">
        <w:rPr>
          <w:rFonts w:ascii="Times New Roman" w:hAnsi="Times New Roman" w:cs="Times New Roman"/>
          <w:kern w:val="24"/>
          <w:sz w:val="24"/>
          <w:szCs w:val="24"/>
        </w:rPr>
        <w:t>with a single, cros</w:t>
      </w:r>
      <w:r w:rsidR="00F543D0">
        <w:rPr>
          <w:rFonts w:ascii="Times New Roman" w:hAnsi="Times New Roman" w:cs="Times New Roman"/>
          <w:kern w:val="24"/>
          <w:sz w:val="24"/>
          <w:szCs w:val="24"/>
        </w:rPr>
        <w:t>s-border set of privacy rules that would have allowed them to transfer data anywhere in the world</w:t>
      </w:r>
      <w:r w:rsidR="00354C24">
        <w:rPr>
          <w:rFonts w:ascii="Times New Roman" w:hAnsi="Times New Roman" w:cs="Times New Roman"/>
          <w:kern w:val="24"/>
          <w:sz w:val="24"/>
          <w:szCs w:val="24"/>
        </w:rPr>
        <w:t xml:space="preserve">.  </w:t>
      </w:r>
      <w:r w:rsidR="001622A6" w:rsidRPr="007D14E6">
        <w:rPr>
          <w:rFonts w:ascii="Times New Roman" w:hAnsi="Times New Roman" w:cs="Times New Roman"/>
          <w:kern w:val="24"/>
          <w:sz w:val="24"/>
          <w:szCs w:val="24"/>
        </w:rPr>
        <w:t xml:space="preserve">As it turned out, </w:t>
      </w:r>
      <w:r w:rsidR="00F543D0">
        <w:rPr>
          <w:rFonts w:ascii="Times New Roman" w:hAnsi="Times New Roman" w:cs="Times New Roman"/>
          <w:kern w:val="24"/>
          <w:sz w:val="24"/>
          <w:szCs w:val="24"/>
        </w:rPr>
        <w:t>ICX was never able to obtain European approval of its draft code.</w:t>
      </w:r>
      <w:r w:rsidR="007D14E6">
        <w:rPr>
          <w:rStyle w:val="FootnoteReference"/>
          <w:rFonts w:ascii="Times New Roman" w:hAnsi="Times New Roman" w:cs="Times New Roman"/>
          <w:kern w:val="24"/>
          <w:sz w:val="24"/>
          <w:szCs w:val="24"/>
        </w:rPr>
        <w:footnoteReference w:id="89"/>
      </w:r>
      <w:r w:rsidR="00354C24">
        <w:rPr>
          <w:rFonts w:ascii="Times New Roman" w:hAnsi="Times New Roman" w:cs="Times New Roman"/>
          <w:kern w:val="24"/>
          <w:sz w:val="24"/>
          <w:szCs w:val="24"/>
        </w:rPr>
        <w:t xml:space="preserve"> </w:t>
      </w:r>
      <w:r w:rsidR="001E6398">
        <w:rPr>
          <w:rFonts w:ascii="Times New Roman" w:hAnsi="Times New Roman" w:cs="Times New Roman"/>
          <w:kern w:val="24"/>
          <w:sz w:val="24"/>
          <w:szCs w:val="24"/>
        </w:rPr>
        <w:t>T</w:t>
      </w:r>
      <w:r w:rsidR="001622A6">
        <w:rPr>
          <w:rFonts w:ascii="Times New Roman" w:hAnsi="Times New Roman" w:cs="Times New Roman"/>
          <w:kern w:val="24"/>
          <w:sz w:val="24"/>
          <w:szCs w:val="24"/>
        </w:rPr>
        <w:t xml:space="preserve">he ICX project </w:t>
      </w:r>
      <w:r w:rsidR="001E6398">
        <w:rPr>
          <w:rFonts w:ascii="Times New Roman" w:hAnsi="Times New Roman" w:cs="Times New Roman"/>
          <w:kern w:val="24"/>
          <w:sz w:val="24"/>
          <w:szCs w:val="24"/>
        </w:rPr>
        <w:t xml:space="preserve">therefore </w:t>
      </w:r>
      <w:r w:rsidR="001622A6">
        <w:rPr>
          <w:rFonts w:ascii="Times New Roman" w:hAnsi="Times New Roman" w:cs="Times New Roman"/>
          <w:kern w:val="24"/>
          <w:sz w:val="24"/>
          <w:szCs w:val="24"/>
        </w:rPr>
        <w:t xml:space="preserve">stands today as an example of industry self-regulation, </w:t>
      </w:r>
      <w:r w:rsidR="00DA7877">
        <w:rPr>
          <w:rFonts w:ascii="Times New Roman" w:hAnsi="Times New Roman" w:cs="Times New Roman"/>
          <w:kern w:val="24"/>
          <w:sz w:val="24"/>
          <w:szCs w:val="24"/>
        </w:rPr>
        <w:t xml:space="preserve">rather than as </w:t>
      </w:r>
      <w:r w:rsidR="001E6398">
        <w:rPr>
          <w:rFonts w:ascii="Times New Roman" w:hAnsi="Times New Roman" w:cs="Times New Roman"/>
          <w:kern w:val="24"/>
          <w:sz w:val="24"/>
          <w:szCs w:val="24"/>
        </w:rPr>
        <w:t xml:space="preserve">one </w:t>
      </w:r>
      <w:r w:rsidR="00DA7877">
        <w:rPr>
          <w:rFonts w:ascii="Times New Roman" w:hAnsi="Times New Roman" w:cs="Times New Roman"/>
          <w:kern w:val="24"/>
          <w:sz w:val="24"/>
          <w:szCs w:val="24"/>
        </w:rPr>
        <w:t xml:space="preserve">of </w:t>
      </w:r>
      <w:r w:rsidR="001622A6">
        <w:rPr>
          <w:rFonts w:ascii="Times New Roman" w:hAnsi="Times New Roman" w:cs="Times New Roman"/>
          <w:kern w:val="24"/>
          <w:sz w:val="24"/>
          <w:szCs w:val="24"/>
        </w:rPr>
        <w:t>in</w:t>
      </w:r>
      <w:r w:rsidR="001E6398">
        <w:rPr>
          <w:rFonts w:ascii="Times New Roman" w:hAnsi="Times New Roman" w:cs="Times New Roman"/>
          <w:kern w:val="24"/>
          <w:sz w:val="24"/>
          <w:szCs w:val="24"/>
        </w:rPr>
        <w:t>dustry-government co-regulation</w:t>
      </w:r>
      <w:r w:rsidR="00DA7877">
        <w:rPr>
          <w:rFonts w:ascii="Times New Roman" w:hAnsi="Times New Roman" w:cs="Times New Roman"/>
          <w:kern w:val="24"/>
          <w:sz w:val="24"/>
          <w:szCs w:val="24"/>
        </w:rPr>
        <w:t>.</w:t>
      </w:r>
    </w:p>
    <w:p w:rsidR="007B6C8D" w:rsidRDefault="00EE4DAF"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The fact that few today know about </w:t>
      </w:r>
      <w:r w:rsidR="003F73B8">
        <w:rPr>
          <w:rFonts w:ascii="Times New Roman" w:hAnsi="Times New Roman" w:cs="Times New Roman"/>
          <w:kern w:val="24"/>
          <w:sz w:val="24"/>
          <w:szCs w:val="24"/>
        </w:rPr>
        <w:t>the ICX project demonstrates one of the weaknesses of self-regulation as a method of establishing global privacy rules.</w:t>
      </w:r>
      <w:r w:rsidR="007B6C8D">
        <w:rPr>
          <w:rFonts w:ascii="Times New Roman" w:hAnsi="Times New Roman" w:cs="Times New Roman"/>
          <w:kern w:val="24"/>
          <w:sz w:val="24"/>
          <w:szCs w:val="24"/>
        </w:rPr>
        <w:t xml:space="preserve"> </w:t>
      </w:r>
      <w:r w:rsidR="0098714A">
        <w:rPr>
          <w:rFonts w:ascii="Times New Roman" w:hAnsi="Times New Roman" w:cs="Times New Roman"/>
          <w:kern w:val="24"/>
          <w:sz w:val="24"/>
          <w:szCs w:val="24"/>
        </w:rPr>
        <w:t>Self-regulation,</w:t>
      </w:r>
      <w:r w:rsidR="00397827">
        <w:rPr>
          <w:rFonts w:ascii="Times New Roman" w:hAnsi="Times New Roman" w:cs="Times New Roman"/>
          <w:kern w:val="24"/>
          <w:sz w:val="24"/>
          <w:szCs w:val="24"/>
        </w:rPr>
        <w:t xml:space="preserve"> by definition, does not involve</w:t>
      </w:r>
      <w:r w:rsidR="0098714A">
        <w:rPr>
          <w:rFonts w:ascii="Times New Roman" w:hAnsi="Times New Roman" w:cs="Times New Roman"/>
          <w:kern w:val="24"/>
          <w:sz w:val="24"/>
          <w:szCs w:val="24"/>
        </w:rPr>
        <w:t xml:space="preserve"> formal government approval.</w:t>
      </w:r>
      <w:r w:rsidR="007B6C8D">
        <w:rPr>
          <w:rFonts w:ascii="Times New Roman" w:hAnsi="Times New Roman" w:cs="Times New Roman"/>
          <w:kern w:val="24"/>
          <w:sz w:val="24"/>
          <w:szCs w:val="24"/>
        </w:rPr>
        <w:t xml:space="preserve"> </w:t>
      </w:r>
      <w:r w:rsidR="00217FD0">
        <w:rPr>
          <w:rFonts w:ascii="Times New Roman" w:hAnsi="Times New Roman" w:cs="Times New Roman"/>
          <w:kern w:val="24"/>
          <w:sz w:val="24"/>
          <w:szCs w:val="24"/>
        </w:rPr>
        <w:t xml:space="preserve">As a consequence, it neither </w:t>
      </w:r>
      <w:r w:rsidR="00FE4323">
        <w:rPr>
          <w:rFonts w:ascii="Times New Roman" w:hAnsi="Times New Roman" w:cs="Times New Roman"/>
          <w:kern w:val="24"/>
          <w:sz w:val="24"/>
          <w:szCs w:val="24"/>
        </w:rPr>
        <w:t>provide</w:t>
      </w:r>
      <w:r w:rsidR="00217FD0">
        <w:rPr>
          <w:rFonts w:ascii="Times New Roman" w:hAnsi="Times New Roman" w:cs="Times New Roman"/>
          <w:kern w:val="24"/>
          <w:sz w:val="24"/>
          <w:szCs w:val="24"/>
        </w:rPr>
        <w:t>s</w:t>
      </w:r>
      <w:r w:rsidR="00FE4323">
        <w:rPr>
          <w:rFonts w:ascii="Times New Roman" w:hAnsi="Times New Roman" w:cs="Times New Roman"/>
          <w:kern w:val="24"/>
          <w:sz w:val="24"/>
          <w:szCs w:val="24"/>
        </w:rPr>
        <w:t xml:space="preserve"> the legal safe harbor that companies need to engage confidently in cross-border data trans</w:t>
      </w:r>
      <w:r w:rsidR="00217FD0">
        <w:rPr>
          <w:rFonts w:ascii="Times New Roman" w:hAnsi="Times New Roman" w:cs="Times New Roman"/>
          <w:kern w:val="24"/>
          <w:sz w:val="24"/>
          <w:szCs w:val="24"/>
        </w:rPr>
        <w:t>fers, nor absolves firms from the costly duty of having to track and comply with multiple national privacy laws.</w:t>
      </w:r>
      <w:r w:rsidR="007B6C8D">
        <w:rPr>
          <w:rFonts w:ascii="Times New Roman" w:hAnsi="Times New Roman" w:cs="Times New Roman"/>
          <w:kern w:val="24"/>
          <w:sz w:val="24"/>
          <w:szCs w:val="24"/>
        </w:rPr>
        <w:t xml:space="preserve"> </w:t>
      </w:r>
      <w:r w:rsidR="00D65A52">
        <w:rPr>
          <w:rFonts w:ascii="Times New Roman" w:hAnsi="Times New Roman" w:cs="Times New Roman"/>
          <w:kern w:val="24"/>
          <w:sz w:val="24"/>
          <w:szCs w:val="24"/>
        </w:rPr>
        <w:t xml:space="preserve">For these reasons, it does not really address </w:t>
      </w:r>
      <w:r w:rsidR="00FE516F">
        <w:rPr>
          <w:rFonts w:ascii="Times New Roman" w:hAnsi="Times New Roman" w:cs="Times New Roman"/>
          <w:kern w:val="24"/>
          <w:sz w:val="24"/>
          <w:szCs w:val="24"/>
        </w:rPr>
        <w:t>the mismatch between global data flows, and national data protection laws.</w:t>
      </w:r>
      <w:r w:rsidR="00724BBE">
        <w:rPr>
          <w:rFonts w:ascii="Times New Roman" w:hAnsi="Times New Roman" w:cs="Times New Roman"/>
          <w:kern w:val="24"/>
          <w:sz w:val="24"/>
          <w:szCs w:val="24"/>
        </w:rPr>
        <w:t xml:space="preserve">  It does not solve the problem.</w:t>
      </w:r>
      <w:r w:rsidR="007B6C8D">
        <w:rPr>
          <w:rFonts w:ascii="Times New Roman" w:hAnsi="Times New Roman" w:cs="Times New Roman"/>
          <w:kern w:val="24"/>
          <w:sz w:val="24"/>
          <w:szCs w:val="24"/>
        </w:rPr>
        <w:t xml:space="preserve"> </w:t>
      </w:r>
      <w:r w:rsidR="00C95E6F">
        <w:rPr>
          <w:rFonts w:ascii="Times New Roman" w:hAnsi="Times New Roman" w:cs="Times New Roman"/>
          <w:kern w:val="24"/>
          <w:sz w:val="24"/>
          <w:szCs w:val="24"/>
        </w:rPr>
        <w:t>That may be why few companies have adopted the ICX, self-regulatory code.</w:t>
      </w:r>
    </w:p>
    <w:p w:rsidR="00217FD0" w:rsidRDefault="00C95E6F"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Regulatory theory suggests </w:t>
      </w:r>
      <w:r w:rsidR="00626EAA">
        <w:rPr>
          <w:rFonts w:ascii="Times New Roman" w:hAnsi="Times New Roman" w:cs="Times New Roman"/>
          <w:kern w:val="24"/>
          <w:sz w:val="24"/>
          <w:szCs w:val="24"/>
        </w:rPr>
        <w:t xml:space="preserve">additional </w:t>
      </w:r>
      <w:r>
        <w:rPr>
          <w:rFonts w:ascii="Times New Roman" w:hAnsi="Times New Roman" w:cs="Times New Roman"/>
          <w:kern w:val="24"/>
          <w:sz w:val="24"/>
          <w:szCs w:val="24"/>
        </w:rPr>
        <w:t xml:space="preserve">reasons </w:t>
      </w:r>
      <w:r w:rsidR="00EE4DAF">
        <w:rPr>
          <w:rFonts w:ascii="Times New Roman" w:hAnsi="Times New Roman" w:cs="Times New Roman"/>
          <w:kern w:val="24"/>
          <w:sz w:val="24"/>
          <w:szCs w:val="24"/>
        </w:rPr>
        <w:t xml:space="preserve">to be cautious about </w:t>
      </w:r>
      <w:r w:rsidR="00217FD0">
        <w:rPr>
          <w:rFonts w:ascii="Times New Roman" w:hAnsi="Times New Roman" w:cs="Times New Roman"/>
          <w:kern w:val="24"/>
          <w:sz w:val="24"/>
          <w:szCs w:val="24"/>
        </w:rPr>
        <w:t>self-regulation.</w:t>
      </w:r>
    </w:p>
    <w:p w:rsidR="005A09B7" w:rsidRDefault="004A5984"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kern w:val="24"/>
          <w:sz w:val="24"/>
          <w:szCs w:val="24"/>
        </w:rPr>
        <w:t xml:space="preserve">Business has </w:t>
      </w:r>
      <w:r w:rsidR="00F039F1">
        <w:rPr>
          <w:rFonts w:ascii="Times New Roman" w:hAnsi="Times New Roman" w:cs="Times New Roman"/>
          <w:kern w:val="24"/>
          <w:sz w:val="24"/>
          <w:szCs w:val="24"/>
        </w:rPr>
        <w:t xml:space="preserve">an incentive to draft </w:t>
      </w:r>
      <w:r>
        <w:rPr>
          <w:rFonts w:ascii="Times New Roman" w:hAnsi="Times New Roman" w:cs="Times New Roman"/>
          <w:kern w:val="24"/>
          <w:sz w:val="24"/>
          <w:szCs w:val="24"/>
        </w:rPr>
        <w:t xml:space="preserve">self-regulatory </w:t>
      </w:r>
      <w:r w:rsidR="00F039F1">
        <w:rPr>
          <w:rFonts w:ascii="Times New Roman" w:hAnsi="Times New Roman" w:cs="Times New Roman"/>
          <w:kern w:val="24"/>
          <w:sz w:val="24"/>
          <w:szCs w:val="24"/>
        </w:rPr>
        <w:t xml:space="preserve">rules that appear to offer solid protection </w:t>
      </w:r>
      <w:r w:rsidR="00626EAA">
        <w:rPr>
          <w:rFonts w:ascii="Times New Roman" w:hAnsi="Times New Roman" w:cs="Times New Roman"/>
          <w:kern w:val="24"/>
          <w:sz w:val="24"/>
          <w:szCs w:val="24"/>
        </w:rPr>
        <w:t xml:space="preserve">but are not, in fact, very </w:t>
      </w:r>
      <w:r w:rsidR="0018593A">
        <w:rPr>
          <w:rFonts w:ascii="Times New Roman" w:hAnsi="Times New Roman" w:cs="Times New Roman"/>
          <w:kern w:val="24"/>
          <w:sz w:val="24"/>
          <w:szCs w:val="24"/>
        </w:rPr>
        <w:t>stringent</w:t>
      </w:r>
      <w:r w:rsidR="00F039F1">
        <w:rPr>
          <w:rFonts w:ascii="Times New Roman" w:hAnsi="Times New Roman" w:cs="Times New Roman"/>
          <w:kern w:val="24"/>
          <w:sz w:val="24"/>
          <w:szCs w:val="24"/>
        </w:rPr>
        <w:t>.</w:t>
      </w:r>
      <w:r w:rsidR="004B4128">
        <w:rPr>
          <w:rFonts w:ascii="Times New Roman" w:hAnsi="Times New Roman" w:cs="Times New Roman"/>
          <w:kern w:val="24"/>
          <w:sz w:val="24"/>
          <w:szCs w:val="24"/>
        </w:rPr>
        <w:t xml:space="preserve"> </w:t>
      </w:r>
      <w:r w:rsidR="0018593A">
        <w:rPr>
          <w:rFonts w:ascii="Times New Roman" w:hAnsi="Times New Roman" w:cs="Times New Roman"/>
          <w:kern w:val="24"/>
          <w:sz w:val="24"/>
          <w:szCs w:val="24"/>
        </w:rPr>
        <w:t>Self-</w:t>
      </w:r>
      <w:r>
        <w:rPr>
          <w:rFonts w:ascii="Times New Roman" w:hAnsi="Times New Roman" w:cs="Times New Roman"/>
          <w:kern w:val="24"/>
          <w:sz w:val="24"/>
          <w:szCs w:val="24"/>
        </w:rPr>
        <w:t xml:space="preserve">regulation </w:t>
      </w:r>
      <w:r w:rsidR="0018593A">
        <w:rPr>
          <w:rFonts w:ascii="Times New Roman" w:hAnsi="Times New Roman" w:cs="Times New Roman"/>
          <w:kern w:val="24"/>
          <w:sz w:val="24"/>
          <w:szCs w:val="24"/>
        </w:rPr>
        <w:t>accordingly tend</w:t>
      </w:r>
      <w:r>
        <w:rPr>
          <w:rFonts w:ascii="Times New Roman" w:hAnsi="Times New Roman" w:cs="Times New Roman"/>
          <w:kern w:val="24"/>
          <w:sz w:val="24"/>
          <w:szCs w:val="24"/>
        </w:rPr>
        <w:t>s</w:t>
      </w:r>
      <w:r w:rsidR="00F039F1">
        <w:rPr>
          <w:rFonts w:ascii="Times New Roman" w:hAnsi="Times New Roman" w:cs="Times New Roman"/>
          <w:kern w:val="24"/>
          <w:sz w:val="24"/>
          <w:szCs w:val="24"/>
        </w:rPr>
        <w:t xml:space="preserve"> to be more lenient than government </w:t>
      </w:r>
      <w:r w:rsidR="0018593A">
        <w:rPr>
          <w:rFonts w:ascii="Times New Roman" w:hAnsi="Times New Roman" w:cs="Times New Roman"/>
          <w:kern w:val="24"/>
          <w:sz w:val="24"/>
          <w:szCs w:val="24"/>
        </w:rPr>
        <w:t>requirements</w:t>
      </w:r>
      <w:r w:rsidR="00F039F1">
        <w:rPr>
          <w:rFonts w:ascii="Times New Roman" w:hAnsi="Times New Roman" w:cs="Times New Roman"/>
          <w:kern w:val="24"/>
          <w:sz w:val="24"/>
          <w:szCs w:val="24"/>
        </w:rPr>
        <w:t xml:space="preserve">, and may not </w:t>
      </w:r>
      <w:r w:rsidR="0018593A">
        <w:rPr>
          <w:rFonts w:ascii="Times New Roman" w:hAnsi="Times New Roman" w:cs="Times New Roman"/>
          <w:kern w:val="24"/>
          <w:sz w:val="24"/>
          <w:szCs w:val="24"/>
        </w:rPr>
        <w:t xml:space="preserve">achieve public goals </w:t>
      </w:r>
      <w:r w:rsidR="00C95E6F">
        <w:rPr>
          <w:rFonts w:ascii="Times New Roman" w:hAnsi="Times New Roman" w:cs="Times New Roman"/>
          <w:kern w:val="24"/>
          <w:sz w:val="24"/>
          <w:szCs w:val="24"/>
        </w:rPr>
        <w:t xml:space="preserve">like </w:t>
      </w:r>
      <w:r w:rsidR="0018593A">
        <w:rPr>
          <w:rFonts w:ascii="Times New Roman" w:hAnsi="Times New Roman" w:cs="Times New Roman"/>
          <w:kern w:val="24"/>
          <w:sz w:val="24"/>
          <w:szCs w:val="24"/>
        </w:rPr>
        <w:t>privacy.</w:t>
      </w:r>
      <w:r w:rsidR="004B4128">
        <w:rPr>
          <w:rStyle w:val="FootnoteReference"/>
          <w:rFonts w:ascii="Times New Roman" w:hAnsi="Times New Roman" w:cs="Times New Roman"/>
          <w:kern w:val="24"/>
          <w:sz w:val="24"/>
          <w:szCs w:val="24"/>
        </w:rPr>
        <w:footnoteReference w:id="90"/>
      </w:r>
      <w:r w:rsidR="004B4128">
        <w:rPr>
          <w:rFonts w:ascii="Times New Roman" w:hAnsi="Times New Roman" w:cs="Times New Roman"/>
          <w:kern w:val="24"/>
          <w:sz w:val="24"/>
          <w:szCs w:val="24"/>
        </w:rPr>
        <w:t xml:space="preserve"> </w:t>
      </w:r>
      <w:r w:rsidR="00287056">
        <w:rPr>
          <w:rFonts w:ascii="Times New Roman" w:hAnsi="Times New Roman" w:cs="Times New Roman"/>
          <w:kern w:val="24"/>
          <w:sz w:val="24"/>
          <w:szCs w:val="24"/>
        </w:rPr>
        <w:t>T</w:t>
      </w:r>
      <w:r w:rsidR="00EB4A49">
        <w:rPr>
          <w:rFonts w:ascii="Times New Roman" w:hAnsi="Times New Roman" w:cs="Times New Roman"/>
          <w:kern w:val="24"/>
          <w:sz w:val="24"/>
          <w:szCs w:val="24"/>
        </w:rPr>
        <w:t xml:space="preserve">heory </w:t>
      </w:r>
      <w:r w:rsidR="00287056">
        <w:rPr>
          <w:rFonts w:ascii="Times New Roman" w:hAnsi="Times New Roman" w:cs="Times New Roman"/>
          <w:kern w:val="24"/>
          <w:sz w:val="24"/>
          <w:szCs w:val="24"/>
        </w:rPr>
        <w:t>further predict</w:t>
      </w:r>
      <w:r>
        <w:rPr>
          <w:rFonts w:ascii="Times New Roman" w:hAnsi="Times New Roman" w:cs="Times New Roman"/>
          <w:kern w:val="24"/>
          <w:sz w:val="24"/>
          <w:szCs w:val="24"/>
        </w:rPr>
        <w:t>s</w:t>
      </w:r>
      <w:r w:rsidR="00EB4A49">
        <w:rPr>
          <w:rFonts w:ascii="Times New Roman" w:hAnsi="Times New Roman" w:cs="Times New Roman"/>
          <w:kern w:val="24"/>
          <w:sz w:val="24"/>
          <w:szCs w:val="24"/>
        </w:rPr>
        <w:t xml:space="preserve"> that self-regulatory organizations will lack the incentive rigorously to monitor and enforce rules against the</w:t>
      </w:r>
      <w:r w:rsidR="00287056">
        <w:rPr>
          <w:rFonts w:ascii="Times New Roman" w:hAnsi="Times New Roman" w:cs="Times New Roman"/>
          <w:kern w:val="24"/>
          <w:sz w:val="24"/>
          <w:szCs w:val="24"/>
        </w:rPr>
        <w:t xml:space="preserve"> very</w:t>
      </w:r>
      <w:r w:rsidR="00EB4A49">
        <w:rPr>
          <w:rFonts w:ascii="Times New Roman" w:hAnsi="Times New Roman" w:cs="Times New Roman"/>
          <w:kern w:val="24"/>
          <w:sz w:val="24"/>
          <w:szCs w:val="24"/>
        </w:rPr>
        <w:t xml:space="preserve"> memb</w:t>
      </w:r>
      <w:r>
        <w:rPr>
          <w:rFonts w:ascii="Times New Roman" w:hAnsi="Times New Roman" w:cs="Times New Roman"/>
          <w:kern w:val="24"/>
          <w:sz w:val="24"/>
          <w:szCs w:val="24"/>
        </w:rPr>
        <w:t xml:space="preserve">er organizations that </w:t>
      </w:r>
      <w:r w:rsidR="00D54693">
        <w:rPr>
          <w:rFonts w:ascii="Times New Roman" w:hAnsi="Times New Roman" w:cs="Times New Roman"/>
          <w:kern w:val="24"/>
          <w:sz w:val="24"/>
          <w:szCs w:val="24"/>
        </w:rPr>
        <w:t>provide them with financial support</w:t>
      </w:r>
      <w:r w:rsidR="00EB4A49">
        <w:rPr>
          <w:rFonts w:ascii="Times New Roman" w:hAnsi="Times New Roman" w:cs="Times New Roman"/>
          <w:kern w:val="24"/>
          <w:sz w:val="24"/>
          <w:szCs w:val="24"/>
        </w:rPr>
        <w:t>.</w:t>
      </w:r>
      <w:r w:rsidR="004B4128">
        <w:rPr>
          <w:rStyle w:val="FootnoteReference"/>
          <w:rFonts w:ascii="Times New Roman" w:hAnsi="Times New Roman" w:cs="Times New Roman"/>
          <w:kern w:val="24"/>
          <w:sz w:val="24"/>
          <w:szCs w:val="24"/>
        </w:rPr>
        <w:footnoteReference w:id="91"/>
      </w:r>
    </w:p>
    <w:p w:rsidR="00213ACE" w:rsidRDefault="00EB4A49"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kern w:val="24"/>
          <w:sz w:val="24"/>
          <w:szCs w:val="24"/>
        </w:rPr>
        <w:t xml:space="preserve">There is </w:t>
      </w:r>
      <w:r w:rsidR="00E87842">
        <w:rPr>
          <w:rFonts w:ascii="Times New Roman" w:hAnsi="Times New Roman" w:cs="Times New Roman"/>
          <w:kern w:val="24"/>
          <w:sz w:val="24"/>
          <w:szCs w:val="24"/>
        </w:rPr>
        <w:t xml:space="preserve">some </w:t>
      </w:r>
      <w:r w:rsidR="00FF0E99">
        <w:rPr>
          <w:rFonts w:ascii="Times New Roman" w:hAnsi="Times New Roman" w:cs="Times New Roman"/>
          <w:kern w:val="24"/>
          <w:sz w:val="24"/>
          <w:szCs w:val="24"/>
        </w:rPr>
        <w:t xml:space="preserve">evidence </w:t>
      </w:r>
      <w:r w:rsidR="00D54693">
        <w:rPr>
          <w:rFonts w:ascii="Times New Roman" w:hAnsi="Times New Roman" w:cs="Times New Roman"/>
          <w:kern w:val="24"/>
          <w:sz w:val="24"/>
          <w:szCs w:val="24"/>
        </w:rPr>
        <w:t xml:space="preserve">for </w:t>
      </w:r>
      <w:r w:rsidR="00FF0E99">
        <w:rPr>
          <w:rFonts w:ascii="Times New Roman" w:hAnsi="Times New Roman" w:cs="Times New Roman"/>
          <w:kern w:val="24"/>
          <w:sz w:val="24"/>
          <w:szCs w:val="24"/>
        </w:rPr>
        <w:t xml:space="preserve">this </w:t>
      </w:r>
      <w:r>
        <w:rPr>
          <w:rFonts w:ascii="Times New Roman" w:hAnsi="Times New Roman" w:cs="Times New Roman"/>
          <w:kern w:val="24"/>
          <w:sz w:val="24"/>
          <w:szCs w:val="24"/>
        </w:rPr>
        <w:t>in the privacy area.</w:t>
      </w:r>
      <w:r>
        <w:rPr>
          <w:rStyle w:val="FootnoteReference"/>
          <w:rFonts w:ascii="Times New Roman" w:hAnsi="Times New Roman" w:cs="Times New Roman"/>
          <w:kern w:val="24"/>
          <w:sz w:val="24"/>
          <w:szCs w:val="24"/>
        </w:rPr>
        <w:footnoteReference w:id="92"/>
      </w:r>
      <w:r w:rsidR="007A75CA">
        <w:rPr>
          <w:rFonts w:ascii="Times New Roman" w:hAnsi="Times New Roman" w:cs="Times New Roman"/>
          <w:kern w:val="24"/>
          <w:sz w:val="24"/>
          <w:szCs w:val="24"/>
        </w:rPr>
        <w:t xml:space="preserve"> </w:t>
      </w:r>
      <w:r w:rsidR="009C7ACD">
        <w:rPr>
          <w:rFonts w:ascii="Times New Roman" w:hAnsi="Times New Roman" w:cs="Times New Roman"/>
          <w:kern w:val="24"/>
          <w:sz w:val="24"/>
          <w:szCs w:val="24"/>
        </w:rPr>
        <w:t>It appears that s</w:t>
      </w:r>
      <w:r w:rsidR="007B4EA6">
        <w:rPr>
          <w:rFonts w:ascii="Times New Roman" w:hAnsi="Times New Roman" w:cs="Times New Roman"/>
          <w:kern w:val="24"/>
          <w:sz w:val="24"/>
          <w:szCs w:val="24"/>
        </w:rPr>
        <w:t xml:space="preserve">elf-regulation, like direct government regulation, </w:t>
      </w:r>
      <w:r w:rsidR="009C7ACD">
        <w:rPr>
          <w:rFonts w:ascii="Times New Roman" w:hAnsi="Times New Roman" w:cs="Times New Roman"/>
          <w:kern w:val="24"/>
          <w:sz w:val="24"/>
          <w:szCs w:val="24"/>
        </w:rPr>
        <w:t xml:space="preserve">may not </w:t>
      </w:r>
      <w:r w:rsidR="00D54693">
        <w:rPr>
          <w:rFonts w:ascii="Times New Roman" w:hAnsi="Times New Roman" w:cs="Times New Roman"/>
          <w:kern w:val="24"/>
          <w:sz w:val="24"/>
          <w:szCs w:val="24"/>
        </w:rPr>
        <w:t xml:space="preserve">be </w:t>
      </w:r>
      <w:r w:rsidR="00E87842">
        <w:rPr>
          <w:rFonts w:ascii="Times New Roman" w:hAnsi="Times New Roman" w:cs="Times New Roman"/>
          <w:kern w:val="24"/>
          <w:sz w:val="24"/>
          <w:szCs w:val="24"/>
        </w:rPr>
        <w:t xml:space="preserve">the best vehicle for establishing </w:t>
      </w:r>
      <w:r w:rsidR="007B4EA6">
        <w:rPr>
          <w:rFonts w:ascii="Times New Roman" w:hAnsi="Times New Roman" w:cs="Times New Roman"/>
          <w:kern w:val="24"/>
          <w:sz w:val="24"/>
          <w:szCs w:val="24"/>
        </w:rPr>
        <w:t>cross-border privacy rules.</w:t>
      </w:r>
    </w:p>
    <w:p w:rsidR="007A75CA" w:rsidRDefault="007A75CA" w:rsidP="001610E3">
      <w:pPr>
        <w:autoSpaceDE w:val="0"/>
        <w:autoSpaceDN w:val="0"/>
        <w:adjustRightInd w:val="0"/>
        <w:spacing w:after="0" w:line="480" w:lineRule="auto"/>
        <w:rPr>
          <w:rFonts w:ascii="Times New Roman" w:hAnsi="Times New Roman" w:cs="Times New Roman"/>
          <w:kern w:val="24"/>
          <w:sz w:val="24"/>
          <w:szCs w:val="24"/>
        </w:rPr>
      </w:pPr>
    </w:p>
    <w:p w:rsidR="007A75CA" w:rsidRPr="0078420B" w:rsidRDefault="007A75CA" w:rsidP="0078420B">
      <w:pPr>
        <w:pStyle w:val="ListParagraph"/>
        <w:numPr>
          <w:ilvl w:val="0"/>
          <w:numId w:val="14"/>
        </w:numPr>
        <w:autoSpaceDE w:val="0"/>
        <w:autoSpaceDN w:val="0"/>
        <w:adjustRightInd w:val="0"/>
        <w:spacing w:after="0" w:line="480" w:lineRule="auto"/>
        <w:rPr>
          <w:rFonts w:ascii="Times New Roman" w:hAnsi="Times New Roman" w:cs="Times New Roman"/>
          <w:kern w:val="24"/>
          <w:sz w:val="24"/>
          <w:szCs w:val="24"/>
          <w:u w:val="single"/>
        </w:rPr>
      </w:pPr>
      <w:r>
        <w:rPr>
          <w:rFonts w:ascii="Times New Roman" w:hAnsi="Times New Roman" w:cs="Times New Roman"/>
          <w:kern w:val="24"/>
          <w:sz w:val="24"/>
          <w:szCs w:val="24"/>
          <w:u w:val="single"/>
        </w:rPr>
        <w:t>Co-R</w:t>
      </w:r>
      <w:r w:rsidR="00B45157" w:rsidRPr="007A75CA">
        <w:rPr>
          <w:rFonts w:ascii="Times New Roman" w:hAnsi="Times New Roman" w:cs="Times New Roman"/>
          <w:kern w:val="24"/>
          <w:sz w:val="24"/>
          <w:szCs w:val="24"/>
          <w:u w:val="single"/>
        </w:rPr>
        <w:t>egulation</w:t>
      </w:r>
    </w:p>
    <w:p w:rsidR="00E87842" w:rsidRDefault="00251364"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foregoing </w:t>
      </w:r>
      <w:r w:rsidR="004A5984">
        <w:rPr>
          <w:rFonts w:ascii="Times New Roman" w:hAnsi="Times New Roman" w:cs="Times New Roman"/>
          <w:kern w:val="24"/>
          <w:sz w:val="24"/>
          <w:szCs w:val="24"/>
        </w:rPr>
        <w:t xml:space="preserve">may explain why policymakers </w:t>
      </w:r>
      <w:r w:rsidR="00626EAA">
        <w:rPr>
          <w:rFonts w:ascii="Times New Roman" w:hAnsi="Times New Roman" w:cs="Times New Roman"/>
          <w:kern w:val="24"/>
          <w:sz w:val="24"/>
          <w:szCs w:val="24"/>
        </w:rPr>
        <w:t>are focusing so heavily on co-regulation</w:t>
      </w:r>
      <w:r w:rsidR="004A5984">
        <w:rPr>
          <w:rFonts w:ascii="Times New Roman" w:hAnsi="Times New Roman" w:cs="Times New Roman"/>
          <w:kern w:val="24"/>
          <w:sz w:val="24"/>
          <w:szCs w:val="24"/>
        </w:rPr>
        <w:t xml:space="preserve">. </w:t>
      </w:r>
    </w:p>
    <w:p w:rsidR="000E05D1" w:rsidRDefault="005A09B7"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kern w:val="24"/>
          <w:sz w:val="24"/>
          <w:szCs w:val="24"/>
        </w:rPr>
        <w:t xml:space="preserve">Proponents of co-regulation argue that </w:t>
      </w:r>
      <w:r w:rsidR="007A3409">
        <w:rPr>
          <w:rFonts w:ascii="Times New Roman" w:hAnsi="Times New Roman" w:cs="Times New Roman"/>
          <w:kern w:val="24"/>
          <w:sz w:val="24"/>
          <w:szCs w:val="24"/>
        </w:rPr>
        <w:t xml:space="preserve">it </w:t>
      </w:r>
      <w:r>
        <w:rPr>
          <w:rFonts w:ascii="Times New Roman" w:hAnsi="Times New Roman" w:cs="Times New Roman"/>
          <w:kern w:val="24"/>
          <w:sz w:val="24"/>
          <w:szCs w:val="24"/>
        </w:rPr>
        <w:t>combines the advantages of self-regulation with those of direct regulation.</w:t>
      </w:r>
      <w:r w:rsidR="009C7ACD">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Like self-regulation, co-regulatory methods such as enforceable codes of </w:t>
      </w:r>
      <w:r>
        <w:rPr>
          <w:rFonts w:ascii="Times New Roman" w:hAnsi="Times New Roman" w:cs="Times New Roman"/>
          <w:kern w:val="24"/>
          <w:sz w:val="24"/>
          <w:szCs w:val="24"/>
        </w:rPr>
        <w:lastRenderedPageBreak/>
        <w:t>conduct allow industry to draft the specific privacy rules (e.g. the codes).</w:t>
      </w:r>
      <w:r w:rsidR="00983E3C">
        <w:rPr>
          <w:rFonts w:ascii="Times New Roman" w:hAnsi="Times New Roman" w:cs="Times New Roman"/>
          <w:kern w:val="24"/>
          <w:sz w:val="24"/>
          <w:szCs w:val="24"/>
        </w:rPr>
        <w:t xml:space="preserve"> </w:t>
      </w:r>
      <w:r>
        <w:rPr>
          <w:rFonts w:ascii="Times New Roman" w:hAnsi="Times New Roman" w:cs="Times New Roman"/>
          <w:kern w:val="24"/>
          <w:sz w:val="24"/>
          <w:szCs w:val="24"/>
        </w:rPr>
        <w:t>They therefore draw on industry knowledge and expertise in much the same way that self-regulation does.</w:t>
      </w:r>
      <w:r w:rsidR="00983E3C">
        <w:rPr>
          <w:rStyle w:val="FootnoteReference"/>
          <w:rFonts w:ascii="Times New Roman" w:hAnsi="Times New Roman" w:cs="Times New Roman"/>
          <w:kern w:val="24"/>
          <w:sz w:val="24"/>
          <w:szCs w:val="24"/>
        </w:rPr>
        <w:footnoteReference w:id="93"/>
      </w:r>
      <w:r w:rsidR="00983E3C">
        <w:rPr>
          <w:rFonts w:ascii="Times New Roman" w:hAnsi="Times New Roman" w:cs="Times New Roman"/>
          <w:kern w:val="24"/>
          <w:sz w:val="24"/>
          <w:szCs w:val="24"/>
        </w:rPr>
        <w:t xml:space="preserve"> </w:t>
      </w:r>
      <w:r>
        <w:rPr>
          <w:rFonts w:ascii="Times New Roman" w:hAnsi="Times New Roman" w:cs="Times New Roman"/>
          <w:kern w:val="24"/>
          <w:sz w:val="24"/>
          <w:szCs w:val="24"/>
        </w:rPr>
        <w:t>They are also more likely to</w:t>
      </w:r>
      <w:r w:rsidR="00401A0B">
        <w:rPr>
          <w:rFonts w:ascii="Times New Roman" w:hAnsi="Times New Roman" w:cs="Times New Roman"/>
          <w:kern w:val="24"/>
          <w:sz w:val="24"/>
          <w:szCs w:val="24"/>
        </w:rPr>
        <w:t xml:space="preserve"> get industry to accept and buy-</w:t>
      </w:r>
      <w:r>
        <w:rPr>
          <w:rFonts w:ascii="Times New Roman" w:hAnsi="Times New Roman" w:cs="Times New Roman"/>
          <w:kern w:val="24"/>
          <w:sz w:val="24"/>
          <w:szCs w:val="24"/>
        </w:rPr>
        <w:t>in</w:t>
      </w:r>
      <w:r w:rsidR="007A3409">
        <w:rPr>
          <w:rFonts w:ascii="Times New Roman" w:hAnsi="Times New Roman" w:cs="Times New Roman"/>
          <w:kern w:val="24"/>
          <w:sz w:val="24"/>
          <w:szCs w:val="24"/>
        </w:rPr>
        <w:t xml:space="preserve"> </w:t>
      </w:r>
      <w:r>
        <w:rPr>
          <w:rFonts w:ascii="Times New Roman" w:hAnsi="Times New Roman" w:cs="Times New Roman"/>
          <w:kern w:val="24"/>
          <w:sz w:val="24"/>
          <w:szCs w:val="24"/>
        </w:rPr>
        <w:t>to rules that they or their peers have drafted.</w:t>
      </w:r>
      <w:r w:rsidR="00A9104A">
        <w:rPr>
          <w:rStyle w:val="FootnoteReference"/>
          <w:rFonts w:ascii="Times New Roman" w:hAnsi="Times New Roman" w:cs="Times New Roman"/>
          <w:kern w:val="24"/>
          <w:sz w:val="24"/>
          <w:szCs w:val="24"/>
        </w:rPr>
        <w:footnoteReference w:id="94"/>
      </w:r>
      <w:r w:rsidR="0081629E">
        <w:rPr>
          <w:rFonts w:ascii="Times New Roman" w:hAnsi="Times New Roman" w:cs="Times New Roman"/>
          <w:kern w:val="24"/>
          <w:sz w:val="24"/>
          <w:szCs w:val="24"/>
        </w:rPr>
        <w:t xml:space="preserve"> </w:t>
      </w:r>
      <w:r w:rsidR="007A3409">
        <w:rPr>
          <w:rFonts w:ascii="Times New Roman" w:hAnsi="Times New Roman" w:cs="Times New Roman"/>
          <w:kern w:val="24"/>
          <w:sz w:val="24"/>
          <w:szCs w:val="24"/>
        </w:rPr>
        <w:t xml:space="preserve">Like direct regulation, co-regulatory strategies </w:t>
      </w:r>
      <w:r w:rsidR="0081629E">
        <w:rPr>
          <w:rFonts w:ascii="Times New Roman" w:hAnsi="Times New Roman" w:cs="Times New Roman"/>
          <w:kern w:val="24"/>
          <w:sz w:val="24"/>
          <w:szCs w:val="24"/>
        </w:rPr>
        <w:t xml:space="preserve">generally </w:t>
      </w:r>
      <w:r w:rsidR="00E61C4C">
        <w:rPr>
          <w:rFonts w:ascii="Times New Roman" w:hAnsi="Times New Roman" w:cs="Times New Roman"/>
          <w:kern w:val="24"/>
          <w:sz w:val="24"/>
          <w:szCs w:val="24"/>
        </w:rPr>
        <w:t xml:space="preserve">call on government to </w:t>
      </w:r>
      <w:r w:rsidR="00401A0B">
        <w:rPr>
          <w:rFonts w:ascii="Times New Roman" w:hAnsi="Times New Roman" w:cs="Times New Roman"/>
          <w:kern w:val="24"/>
          <w:sz w:val="24"/>
          <w:szCs w:val="24"/>
        </w:rPr>
        <w:t xml:space="preserve">establish the privacy framework </w:t>
      </w:r>
      <w:r w:rsidR="00E61C4C">
        <w:rPr>
          <w:rFonts w:ascii="Times New Roman" w:hAnsi="Times New Roman" w:cs="Times New Roman"/>
          <w:kern w:val="24"/>
          <w:sz w:val="24"/>
          <w:szCs w:val="24"/>
        </w:rPr>
        <w:t>to which all industry-drafted rules must conform.</w:t>
      </w:r>
      <w:r w:rsidR="0081629E">
        <w:rPr>
          <w:rFonts w:ascii="Times New Roman" w:hAnsi="Times New Roman" w:cs="Times New Roman"/>
          <w:kern w:val="24"/>
          <w:sz w:val="24"/>
          <w:szCs w:val="24"/>
        </w:rPr>
        <w:t xml:space="preserve"> </w:t>
      </w:r>
      <w:r w:rsidR="00E61C4C">
        <w:rPr>
          <w:rFonts w:ascii="Times New Roman" w:hAnsi="Times New Roman" w:cs="Times New Roman"/>
          <w:kern w:val="24"/>
          <w:sz w:val="24"/>
          <w:szCs w:val="24"/>
        </w:rPr>
        <w:t xml:space="preserve">They also </w:t>
      </w:r>
      <w:r w:rsidR="007A3409">
        <w:rPr>
          <w:rFonts w:ascii="Times New Roman" w:hAnsi="Times New Roman" w:cs="Times New Roman"/>
          <w:kern w:val="24"/>
          <w:sz w:val="24"/>
          <w:szCs w:val="24"/>
        </w:rPr>
        <w:t xml:space="preserve">get regulators involved in </w:t>
      </w:r>
      <w:r w:rsidR="00401A0B">
        <w:rPr>
          <w:rFonts w:ascii="Times New Roman" w:hAnsi="Times New Roman" w:cs="Times New Roman"/>
          <w:kern w:val="24"/>
          <w:sz w:val="24"/>
          <w:szCs w:val="24"/>
        </w:rPr>
        <w:t xml:space="preserve">assessing, </w:t>
      </w:r>
      <w:r w:rsidR="007A3409">
        <w:rPr>
          <w:rFonts w:ascii="Times New Roman" w:hAnsi="Times New Roman" w:cs="Times New Roman"/>
          <w:kern w:val="24"/>
          <w:sz w:val="24"/>
          <w:szCs w:val="24"/>
        </w:rPr>
        <w:t>monitoring compliance with, and enforcing</w:t>
      </w:r>
      <w:r w:rsidR="00E61C4C">
        <w:rPr>
          <w:rFonts w:ascii="Times New Roman" w:hAnsi="Times New Roman" w:cs="Times New Roman"/>
          <w:kern w:val="24"/>
          <w:sz w:val="24"/>
          <w:szCs w:val="24"/>
        </w:rPr>
        <w:t>, these rules.</w:t>
      </w:r>
      <w:r w:rsidR="000E05D1">
        <w:rPr>
          <w:rStyle w:val="FootnoteReference"/>
          <w:rFonts w:ascii="Times New Roman" w:hAnsi="Times New Roman" w:cs="Times New Roman"/>
          <w:kern w:val="24"/>
          <w:sz w:val="24"/>
          <w:szCs w:val="24"/>
        </w:rPr>
        <w:footnoteReference w:id="95"/>
      </w:r>
      <w:r w:rsidR="0081629E">
        <w:rPr>
          <w:rFonts w:ascii="Times New Roman" w:hAnsi="Times New Roman" w:cs="Times New Roman"/>
          <w:kern w:val="24"/>
          <w:sz w:val="24"/>
          <w:szCs w:val="24"/>
        </w:rPr>
        <w:t xml:space="preserve"> </w:t>
      </w:r>
      <w:r w:rsidR="00E61C4C">
        <w:rPr>
          <w:rFonts w:ascii="Times New Roman" w:hAnsi="Times New Roman" w:cs="Times New Roman"/>
          <w:kern w:val="24"/>
          <w:sz w:val="24"/>
          <w:szCs w:val="24"/>
        </w:rPr>
        <w:t>This government involvement increases the chances that the rules will truly protect the public interest, and that companies will comply with them.</w:t>
      </w:r>
      <w:r w:rsidR="000E05D1">
        <w:rPr>
          <w:rStyle w:val="FootnoteReference"/>
          <w:rFonts w:ascii="Times New Roman" w:hAnsi="Times New Roman" w:cs="Times New Roman"/>
          <w:kern w:val="24"/>
          <w:sz w:val="24"/>
          <w:szCs w:val="24"/>
        </w:rPr>
        <w:footnoteReference w:id="96"/>
      </w:r>
      <w:r w:rsidR="00E61C4C">
        <w:rPr>
          <w:rFonts w:ascii="Times New Roman" w:hAnsi="Times New Roman" w:cs="Times New Roman"/>
          <w:kern w:val="24"/>
          <w:sz w:val="24"/>
          <w:szCs w:val="24"/>
        </w:rPr>
        <w:t xml:space="preserve"> </w:t>
      </w:r>
      <w:r w:rsidR="0081629E">
        <w:rPr>
          <w:rFonts w:ascii="Times New Roman" w:hAnsi="Times New Roman" w:cs="Times New Roman"/>
          <w:kern w:val="24"/>
          <w:sz w:val="24"/>
          <w:szCs w:val="24"/>
        </w:rPr>
        <w:t xml:space="preserve"> </w:t>
      </w:r>
      <w:r w:rsidR="00E61C4C">
        <w:rPr>
          <w:rFonts w:ascii="Times New Roman" w:hAnsi="Times New Roman" w:cs="Times New Roman"/>
          <w:kern w:val="24"/>
          <w:sz w:val="24"/>
          <w:szCs w:val="24"/>
        </w:rPr>
        <w:t>In sum, co-regulation promises rules that are stringent, intelligent and up-to-date, that government enforces and industry accepts.</w:t>
      </w:r>
      <w:r w:rsidR="0081629E">
        <w:rPr>
          <w:rFonts w:ascii="Times New Roman" w:hAnsi="Times New Roman" w:cs="Times New Roman"/>
          <w:kern w:val="24"/>
          <w:sz w:val="24"/>
          <w:szCs w:val="24"/>
        </w:rPr>
        <w:t xml:space="preserve"> </w:t>
      </w:r>
      <w:r w:rsidR="00E61C4C">
        <w:rPr>
          <w:rFonts w:ascii="Times New Roman" w:hAnsi="Times New Roman" w:cs="Times New Roman"/>
          <w:kern w:val="24"/>
          <w:sz w:val="24"/>
          <w:szCs w:val="24"/>
        </w:rPr>
        <w:t xml:space="preserve">This is an attractive picture for an area like privacy law where technologies and business models change too quickly for direct regulation, but the stakes are too high to rely solely on </w:t>
      </w:r>
      <w:r w:rsidR="00401A0B">
        <w:rPr>
          <w:rFonts w:ascii="Times New Roman" w:hAnsi="Times New Roman" w:cs="Times New Roman"/>
          <w:kern w:val="24"/>
          <w:sz w:val="24"/>
          <w:szCs w:val="24"/>
        </w:rPr>
        <w:t xml:space="preserve">industry </w:t>
      </w:r>
      <w:r w:rsidR="00E61C4C">
        <w:rPr>
          <w:rFonts w:ascii="Times New Roman" w:hAnsi="Times New Roman" w:cs="Times New Roman"/>
          <w:kern w:val="24"/>
          <w:sz w:val="24"/>
          <w:szCs w:val="24"/>
        </w:rPr>
        <w:t>self-regulation.</w:t>
      </w:r>
    </w:p>
    <w:p w:rsidR="000E05D1" w:rsidRDefault="00E61C4C"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Co-regulation </w:t>
      </w:r>
      <w:r w:rsidR="00F21B22">
        <w:rPr>
          <w:rFonts w:ascii="Times New Roman" w:hAnsi="Times New Roman" w:cs="Times New Roman"/>
          <w:kern w:val="24"/>
          <w:sz w:val="24"/>
          <w:szCs w:val="24"/>
        </w:rPr>
        <w:t xml:space="preserve">also has </w:t>
      </w:r>
      <w:r>
        <w:rPr>
          <w:rFonts w:ascii="Times New Roman" w:hAnsi="Times New Roman" w:cs="Times New Roman"/>
          <w:kern w:val="24"/>
          <w:sz w:val="24"/>
          <w:szCs w:val="24"/>
        </w:rPr>
        <w:t>weaknesses.</w:t>
      </w:r>
      <w:r w:rsidR="000E05D1">
        <w:rPr>
          <w:rFonts w:ascii="Times New Roman" w:hAnsi="Times New Roman" w:cs="Times New Roman"/>
          <w:kern w:val="24"/>
          <w:sz w:val="24"/>
          <w:szCs w:val="24"/>
        </w:rPr>
        <w:t xml:space="preserve"> </w:t>
      </w:r>
      <w:r w:rsidR="00570258">
        <w:rPr>
          <w:rFonts w:ascii="Times New Roman" w:hAnsi="Times New Roman" w:cs="Times New Roman"/>
          <w:kern w:val="24"/>
          <w:sz w:val="24"/>
          <w:szCs w:val="24"/>
        </w:rPr>
        <w:t>It envisions a government-industry negotiation over rules.</w:t>
      </w:r>
      <w:r w:rsidR="000E05D1">
        <w:rPr>
          <w:rFonts w:ascii="Times New Roman" w:hAnsi="Times New Roman" w:cs="Times New Roman"/>
          <w:kern w:val="24"/>
          <w:sz w:val="24"/>
          <w:szCs w:val="24"/>
        </w:rPr>
        <w:t xml:space="preserve"> </w:t>
      </w:r>
      <w:r w:rsidR="0035259E">
        <w:rPr>
          <w:rFonts w:ascii="Times New Roman" w:hAnsi="Times New Roman" w:cs="Times New Roman"/>
          <w:kern w:val="24"/>
          <w:sz w:val="24"/>
          <w:szCs w:val="24"/>
        </w:rPr>
        <w:t>Such regulation through “deal-making” can lead to sweetheart deals that favor industry interests over those of the public.</w:t>
      </w:r>
      <w:r w:rsidR="00D00DBB">
        <w:rPr>
          <w:rStyle w:val="FootnoteReference"/>
          <w:rFonts w:ascii="Times New Roman" w:hAnsi="Times New Roman" w:cs="Times New Roman"/>
          <w:kern w:val="24"/>
          <w:sz w:val="24"/>
          <w:szCs w:val="24"/>
        </w:rPr>
        <w:footnoteReference w:id="97"/>
      </w:r>
      <w:r w:rsidR="000E05D1">
        <w:rPr>
          <w:rFonts w:ascii="Times New Roman" w:hAnsi="Times New Roman" w:cs="Times New Roman"/>
          <w:kern w:val="24"/>
          <w:sz w:val="24"/>
          <w:szCs w:val="24"/>
        </w:rPr>
        <w:t xml:space="preserve"> </w:t>
      </w:r>
      <w:r w:rsidR="0035259E">
        <w:rPr>
          <w:rFonts w:ascii="Times New Roman" w:hAnsi="Times New Roman" w:cs="Times New Roman"/>
          <w:kern w:val="24"/>
          <w:sz w:val="24"/>
          <w:szCs w:val="24"/>
        </w:rPr>
        <w:t xml:space="preserve">Much depends on how well the government regulators are </w:t>
      </w:r>
      <w:r w:rsidR="0035259E">
        <w:rPr>
          <w:rFonts w:ascii="Times New Roman" w:hAnsi="Times New Roman" w:cs="Times New Roman"/>
          <w:kern w:val="24"/>
          <w:sz w:val="24"/>
          <w:szCs w:val="24"/>
        </w:rPr>
        <w:lastRenderedPageBreak/>
        <w:t>able to exercise their authority (the company needs their approval, after all) and push back against company desires for more less rigorous rules.</w:t>
      </w:r>
      <w:r w:rsidR="000E05D1">
        <w:rPr>
          <w:rFonts w:ascii="Times New Roman" w:hAnsi="Times New Roman" w:cs="Times New Roman"/>
          <w:kern w:val="24"/>
          <w:sz w:val="24"/>
          <w:szCs w:val="24"/>
        </w:rPr>
        <w:t xml:space="preserve"> </w:t>
      </w:r>
      <w:r w:rsidR="00A572B2">
        <w:rPr>
          <w:rFonts w:ascii="Times New Roman" w:hAnsi="Times New Roman" w:cs="Times New Roman"/>
          <w:kern w:val="24"/>
          <w:sz w:val="24"/>
          <w:szCs w:val="24"/>
        </w:rPr>
        <w:t>Public interest stakeholders can counter industry influence</w:t>
      </w:r>
      <w:r w:rsidR="009942A8">
        <w:rPr>
          <w:rFonts w:ascii="Times New Roman" w:hAnsi="Times New Roman" w:cs="Times New Roman"/>
          <w:kern w:val="24"/>
          <w:sz w:val="24"/>
          <w:szCs w:val="24"/>
        </w:rPr>
        <w:t>.</w:t>
      </w:r>
      <w:r w:rsidR="000E05D1">
        <w:rPr>
          <w:rFonts w:ascii="Times New Roman" w:hAnsi="Times New Roman" w:cs="Times New Roman"/>
          <w:kern w:val="24"/>
          <w:sz w:val="24"/>
          <w:szCs w:val="24"/>
        </w:rPr>
        <w:t xml:space="preserve"> </w:t>
      </w:r>
      <w:r w:rsidR="009942A8">
        <w:rPr>
          <w:rFonts w:ascii="Times New Roman" w:hAnsi="Times New Roman" w:cs="Times New Roman"/>
          <w:kern w:val="24"/>
          <w:sz w:val="24"/>
          <w:szCs w:val="24"/>
        </w:rPr>
        <w:t xml:space="preserve">Including </w:t>
      </w:r>
      <w:r w:rsidR="00797923">
        <w:rPr>
          <w:rFonts w:ascii="Times New Roman" w:hAnsi="Times New Roman" w:cs="Times New Roman"/>
          <w:kern w:val="24"/>
          <w:sz w:val="24"/>
          <w:szCs w:val="24"/>
        </w:rPr>
        <w:t>them in the discussion can increase the chances of a well-balanced set of rules.</w:t>
      </w:r>
      <w:r w:rsidR="00797923">
        <w:rPr>
          <w:rStyle w:val="FootnoteReference"/>
          <w:rFonts w:ascii="Times New Roman" w:hAnsi="Times New Roman" w:cs="Times New Roman"/>
          <w:kern w:val="24"/>
          <w:sz w:val="24"/>
          <w:szCs w:val="24"/>
        </w:rPr>
        <w:footnoteReference w:id="98"/>
      </w:r>
      <w:r w:rsidR="00D60D9E">
        <w:rPr>
          <w:rFonts w:ascii="Times New Roman" w:hAnsi="Times New Roman" w:cs="Times New Roman"/>
          <w:kern w:val="24"/>
          <w:sz w:val="24"/>
          <w:szCs w:val="24"/>
        </w:rPr>
        <w:t xml:space="preserve"> </w:t>
      </w:r>
      <w:r w:rsidR="000E05D1">
        <w:rPr>
          <w:rFonts w:ascii="Times New Roman" w:hAnsi="Times New Roman" w:cs="Times New Roman"/>
          <w:kern w:val="24"/>
          <w:sz w:val="24"/>
          <w:szCs w:val="24"/>
        </w:rPr>
        <w:t>Another weakness is that c</w:t>
      </w:r>
      <w:r w:rsidR="0035259E">
        <w:rPr>
          <w:rFonts w:ascii="Times New Roman" w:hAnsi="Times New Roman" w:cs="Times New Roman"/>
          <w:kern w:val="24"/>
          <w:sz w:val="24"/>
          <w:szCs w:val="24"/>
        </w:rPr>
        <w:t xml:space="preserve">o-regulation can </w:t>
      </w:r>
      <w:r w:rsidR="000E05D1">
        <w:rPr>
          <w:rFonts w:ascii="Times New Roman" w:hAnsi="Times New Roman" w:cs="Times New Roman"/>
          <w:kern w:val="24"/>
          <w:sz w:val="24"/>
          <w:szCs w:val="24"/>
        </w:rPr>
        <w:t xml:space="preserve">sometimes </w:t>
      </w:r>
      <w:r w:rsidR="009942A8">
        <w:rPr>
          <w:rFonts w:ascii="Times New Roman" w:hAnsi="Times New Roman" w:cs="Times New Roman"/>
          <w:kern w:val="24"/>
          <w:sz w:val="24"/>
          <w:szCs w:val="24"/>
        </w:rPr>
        <w:t xml:space="preserve">provide certain companies with an </w:t>
      </w:r>
      <w:r w:rsidR="0035259E">
        <w:rPr>
          <w:rFonts w:ascii="Times New Roman" w:hAnsi="Times New Roman" w:cs="Times New Roman"/>
          <w:kern w:val="24"/>
          <w:sz w:val="24"/>
          <w:szCs w:val="24"/>
        </w:rPr>
        <w:t>advantage over others.</w:t>
      </w:r>
      <w:r w:rsidR="000E05D1">
        <w:rPr>
          <w:rFonts w:ascii="Times New Roman" w:hAnsi="Times New Roman" w:cs="Times New Roman"/>
          <w:kern w:val="24"/>
          <w:sz w:val="24"/>
          <w:szCs w:val="24"/>
        </w:rPr>
        <w:t xml:space="preserve"> </w:t>
      </w:r>
      <w:r w:rsidR="0035259E">
        <w:rPr>
          <w:rFonts w:ascii="Times New Roman" w:hAnsi="Times New Roman" w:cs="Times New Roman"/>
          <w:kern w:val="24"/>
          <w:sz w:val="24"/>
          <w:szCs w:val="24"/>
        </w:rPr>
        <w:t>Insofar as the</w:t>
      </w:r>
      <w:r w:rsidR="0054057C">
        <w:rPr>
          <w:rFonts w:ascii="Times New Roman" w:hAnsi="Times New Roman" w:cs="Times New Roman"/>
          <w:kern w:val="24"/>
          <w:sz w:val="24"/>
          <w:szCs w:val="24"/>
        </w:rPr>
        <w:t xml:space="preserve"> approach allows individual companies to draft their own codes of conduct and negotiate them with the regulators, this could lead to </w:t>
      </w:r>
      <w:r w:rsidR="00242D1D">
        <w:rPr>
          <w:rFonts w:ascii="Times New Roman" w:hAnsi="Times New Roman" w:cs="Times New Roman"/>
          <w:kern w:val="24"/>
          <w:sz w:val="24"/>
          <w:szCs w:val="24"/>
        </w:rPr>
        <w:t xml:space="preserve">some companies having </w:t>
      </w:r>
      <w:r w:rsidR="0054057C">
        <w:rPr>
          <w:rFonts w:ascii="Times New Roman" w:hAnsi="Times New Roman" w:cs="Times New Roman"/>
          <w:kern w:val="24"/>
          <w:sz w:val="24"/>
          <w:szCs w:val="24"/>
        </w:rPr>
        <w:t>more advantageous arrangements</w:t>
      </w:r>
      <w:r w:rsidR="00242D1D">
        <w:rPr>
          <w:rFonts w:ascii="Times New Roman" w:hAnsi="Times New Roman" w:cs="Times New Roman"/>
          <w:kern w:val="24"/>
          <w:sz w:val="24"/>
          <w:szCs w:val="24"/>
        </w:rPr>
        <w:t>, and some less.</w:t>
      </w:r>
      <w:r w:rsidR="000E05D1">
        <w:rPr>
          <w:rFonts w:ascii="Times New Roman" w:hAnsi="Times New Roman" w:cs="Times New Roman"/>
          <w:kern w:val="24"/>
          <w:sz w:val="24"/>
          <w:szCs w:val="24"/>
        </w:rPr>
        <w:t xml:space="preserve"> </w:t>
      </w:r>
    </w:p>
    <w:p w:rsidR="00D01A03" w:rsidRDefault="00242D1D"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Finally, co-regulation </w:t>
      </w:r>
      <w:r w:rsidR="000E05D1">
        <w:rPr>
          <w:rFonts w:ascii="Times New Roman" w:hAnsi="Times New Roman" w:cs="Times New Roman"/>
          <w:kern w:val="24"/>
          <w:sz w:val="24"/>
          <w:szCs w:val="24"/>
        </w:rPr>
        <w:t xml:space="preserve">may be </w:t>
      </w:r>
      <w:r>
        <w:rPr>
          <w:rFonts w:ascii="Times New Roman" w:hAnsi="Times New Roman" w:cs="Times New Roman"/>
          <w:kern w:val="24"/>
          <w:sz w:val="24"/>
          <w:szCs w:val="24"/>
        </w:rPr>
        <w:t>less nimble and adaptive than self-regulation.</w:t>
      </w:r>
      <w:r w:rsidR="000E05D1">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In self-regulation, </w:t>
      </w:r>
      <w:r w:rsidR="00EB69FD">
        <w:rPr>
          <w:rFonts w:ascii="Times New Roman" w:hAnsi="Times New Roman" w:cs="Times New Roman"/>
          <w:kern w:val="24"/>
          <w:sz w:val="24"/>
          <w:szCs w:val="24"/>
        </w:rPr>
        <w:t xml:space="preserve">industry can develop, update and </w:t>
      </w:r>
      <w:r w:rsidR="000E05D1">
        <w:rPr>
          <w:rFonts w:ascii="Times New Roman" w:hAnsi="Times New Roman" w:cs="Times New Roman"/>
          <w:kern w:val="24"/>
          <w:sz w:val="24"/>
          <w:szCs w:val="24"/>
        </w:rPr>
        <w:t xml:space="preserve">change its rules all on its own. </w:t>
      </w:r>
      <w:r w:rsidR="00EB69FD">
        <w:rPr>
          <w:rFonts w:ascii="Times New Roman" w:hAnsi="Times New Roman" w:cs="Times New Roman"/>
          <w:kern w:val="24"/>
          <w:sz w:val="24"/>
          <w:szCs w:val="24"/>
        </w:rPr>
        <w:t>It does not need government approval to do so.</w:t>
      </w:r>
      <w:r w:rsidR="000E05D1">
        <w:rPr>
          <w:rFonts w:ascii="Times New Roman" w:hAnsi="Times New Roman" w:cs="Times New Roman"/>
          <w:kern w:val="24"/>
          <w:sz w:val="24"/>
          <w:szCs w:val="24"/>
        </w:rPr>
        <w:t xml:space="preserve"> </w:t>
      </w:r>
      <w:r w:rsidR="00EB69FD">
        <w:rPr>
          <w:rFonts w:ascii="Times New Roman" w:hAnsi="Times New Roman" w:cs="Times New Roman"/>
          <w:kern w:val="24"/>
          <w:sz w:val="24"/>
          <w:szCs w:val="24"/>
        </w:rPr>
        <w:t xml:space="preserve">In co-regulation, industry and government </w:t>
      </w:r>
      <w:r w:rsidR="000E05D1">
        <w:rPr>
          <w:rFonts w:ascii="Times New Roman" w:hAnsi="Times New Roman" w:cs="Times New Roman"/>
          <w:kern w:val="24"/>
          <w:sz w:val="24"/>
          <w:szCs w:val="24"/>
        </w:rPr>
        <w:t xml:space="preserve">generally </w:t>
      </w:r>
      <w:r w:rsidR="00EB69FD">
        <w:rPr>
          <w:rFonts w:ascii="Times New Roman" w:hAnsi="Times New Roman" w:cs="Times New Roman"/>
          <w:kern w:val="24"/>
          <w:sz w:val="24"/>
          <w:szCs w:val="24"/>
        </w:rPr>
        <w:t>invest significant time and resources to reach agreement on a set of rules.</w:t>
      </w:r>
      <w:r w:rsidR="000E05D1">
        <w:rPr>
          <w:rFonts w:ascii="Times New Roman" w:hAnsi="Times New Roman" w:cs="Times New Roman"/>
          <w:kern w:val="24"/>
          <w:sz w:val="24"/>
          <w:szCs w:val="24"/>
        </w:rPr>
        <w:t xml:space="preserve"> </w:t>
      </w:r>
      <w:r w:rsidR="00EB69FD">
        <w:rPr>
          <w:rFonts w:ascii="Times New Roman" w:hAnsi="Times New Roman" w:cs="Times New Roman"/>
          <w:kern w:val="24"/>
          <w:sz w:val="24"/>
          <w:szCs w:val="24"/>
        </w:rPr>
        <w:t>This often makes them hesitant to re-open negotiations in order to update the rules.</w:t>
      </w:r>
      <w:r w:rsidR="000E05D1">
        <w:rPr>
          <w:rFonts w:ascii="Times New Roman" w:hAnsi="Times New Roman" w:cs="Times New Roman"/>
          <w:kern w:val="24"/>
          <w:sz w:val="24"/>
          <w:szCs w:val="24"/>
        </w:rPr>
        <w:t xml:space="preserve"> </w:t>
      </w:r>
      <w:r w:rsidR="00EB69FD">
        <w:rPr>
          <w:rFonts w:ascii="Times New Roman" w:hAnsi="Times New Roman" w:cs="Times New Roman"/>
          <w:kern w:val="24"/>
          <w:sz w:val="24"/>
          <w:szCs w:val="24"/>
        </w:rPr>
        <w:t xml:space="preserve">In at least one important example of privacy co-regulation, the negotiated industry codes of conduct largely remained unchanged over their five-year </w:t>
      </w:r>
      <w:r w:rsidR="009A1BB2">
        <w:rPr>
          <w:rFonts w:ascii="Times New Roman" w:hAnsi="Times New Roman" w:cs="Times New Roman"/>
          <w:kern w:val="24"/>
          <w:sz w:val="24"/>
          <w:szCs w:val="24"/>
        </w:rPr>
        <w:t xml:space="preserve">initial </w:t>
      </w:r>
      <w:r w:rsidR="00EB69FD">
        <w:rPr>
          <w:rFonts w:ascii="Times New Roman" w:hAnsi="Times New Roman" w:cs="Times New Roman"/>
          <w:kern w:val="24"/>
          <w:sz w:val="24"/>
          <w:szCs w:val="24"/>
        </w:rPr>
        <w:t>term.</w:t>
      </w:r>
      <w:r w:rsidR="00EB69FD">
        <w:rPr>
          <w:rStyle w:val="FootnoteReference"/>
          <w:rFonts w:ascii="Times New Roman" w:hAnsi="Times New Roman" w:cs="Times New Roman"/>
          <w:kern w:val="24"/>
          <w:sz w:val="24"/>
          <w:szCs w:val="24"/>
        </w:rPr>
        <w:footnoteReference w:id="99"/>
      </w:r>
      <w:r w:rsidR="000E05D1">
        <w:rPr>
          <w:rFonts w:ascii="Times New Roman" w:hAnsi="Times New Roman" w:cs="Times New Roman"/>
          <w:kern w:val="24"/>
          <w:sz w:val="24"/>
          <w:szCs w:val="24"/>
        </w:rPr>
        <w:t xml:space="preserve"> </w:t>
      </w:r>
      <w:r w:rsidR="00EB69FD">
        <w:rPr>
          <w:rFonts w:ascii="Times New Roman" w:hAnsi="Times New Roman" w:cs="Times New Roman"/>
          <w:kern w:val="24"/>
          <w:sz w:val="24"/>
          <w:szCs w:val="24"/>
        </w:rPr>
        <w:t xml:space="preserve">Government and industry negotiators reconvened </w:t>
      </w:r>
      <w:r w:rsidR="009A1BB2">
        <w:rPr>
          <w:rFonts w:ascii="Times New Roman" w:hAnsi="Times New Roman" w:cs="Times New Roman"/>
          <w:kern w:val="24"/>
          <w:sz w:val="24"/>
          <w:szCs w:val="24"/>
        </w:rPr>
        <w:t xml:space="preserve">to update the code </w:t>
      </w:r>
      <w:r w:rsidR="00EB69FD">
        <w:rPr>
          <w:rFonts w:ascii="Times New Roman" w:hAnsi="Times New Roman" w:cs="Times New Roman"/>
          <w:kern w:val="24"/>
          <w:sz w:val="24"/>
          <w:szCs w:val="24"/>
        </w:rPr>
        <w:t xml:space="preserve">only </w:t>
      </w:r>
      <w:r w:rsidR="009A1BB2">
        <w:rPr>
          <w:rFonts w:ascii="Times New Roman" w:hAnsi="Times New Roman" w:cs="Times New Roman"/>
          <w:kern w:val="24"/>
          <w:sz w:val="24"/>
          <w:szCs w:val="24"/>
        </w:rPr>
        <w:t xml:space="preserve">when </w:t>
      </w:r>
      <w:r w:rsidR="00EB69FD">
        <w:rPr>
          <w:rFonts w:ascii="Times New Roman" w:hAnsi="Times New Roman" w:cs="Times New Roman"/>
          <w:kern w:val="24"/>
          <w:sz w:val="24"/>
          <w:szCs w:val="24"/>
        </w:rPr>
        <w:t xml:space="preserve">the expiration of the code required them to </w:t>
      </w:r>
      <w:r w:rsidR="009A1BB2">
        <w:rPr>
          <w:rFonts w:ascii="Times New Roman" w:hAnsi="Times New Roman" w:cs="Times New Roman"/>
          <w:kern w:val="24"/>
          <w:sz w:val="24"/>
          <w:szCs w:val="24"/>
        </w:rPr>
        <w:t>do so</w:t>
      </w:r>
      <w:r w:rsidR="00EB69FD">
        <w:rPr>
          <w:rFonts w:ascii="Times New Roman" w:hAnsi="Times New Roman" w:cs="Times New Roman"/>
          <w:kern w:val="24"/>
          <w:sz w:val="24"/>
          <w:szCs w:val="24"/>
        </w:rPr>
        <w:t>.</w:t>
      </w:r>
      <w:r w:rsidR="00EB69FD">
        <w:rPr>
          <w:rStyle w:val="FootnoteReference"/>
          <w:rFonts w:ascii="Times New Roman" w:hAnsi="Times New Roman" w:cs="Times New Roman"/>
          <w:kern w:val="24"/>
          <w:sz w:val="24"/>
          <w:szCs w:val="24"/>
        </w:rPr>
        <w:footnoteReference w:id="100"/>
      </w:r>
      <w:r w:rsidR="000E05D1">
        <w:rPr>
          <w:rFonts w:ascii="Times New Roman" w:hAnsi="Times New Roman" w:cs="Times New Roman"/>
          <w:kern w:val="24"/>
          <w:sz w:val="24"/>
          <w:szCs w:val="24"/>
        </w:rPr>
        <w:t xml:space="preserve"> </w:t>
      </w:r>
    </w:p>
    <w:p w:rsidR="00D60D9E" w:rsidRDefault="00D60D9E" w:rsidP="001610E3">
      <w:pPr>
        <w:autoSpaceDE w:val="0"/>
        <w:autoSpaceDN w:val="0"/>
        <w:adjustRightInd w:val="0"/>
        <w:spacing w:after="0" w:line="480" w:lineRule="auto"/>
        <w:rPr>
          <w:rFonts w:ascii="Times New Roman" w:hAnsi="Times New Roman" w:cs="Times New Roman"/>
          <w:kern w:val="24"/>
          <w:sz w:val="24"/>
          <w:szCs w:val="24"/>
        </w:rPr>
      </w:pPr>
    </w:p>
    <w:p w:rsidR="00D60D9E" w:rsidRDefault="00D60D9E"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b/>
          <w:kern w:val="24"/>
          <w:sz w:val="24"/>
          <w:szCs w:val="24"/>
        </w:rPr>
        <w:t>III</w:t>
      </w:r>
      <w:proofErr w:type="gramStart"/>
      <w:r>
        <w:rPr>
          <w:rFonts w:ascii="Times New Roman" w:hAnsi="Times New Roman" w:cs="Times New Roman"/>
          <w:b/>
          <w:kern w:val="24"/>
          <w:sz w:val="24"/>
          <w:szCs w:val="24"/>
        </w:rPr>
        <w:t>.  Current</w:t>
      </w:r>
      <w:proofErr w:type="gramEnd"/>
      <w:r>
        <w:rPr>
          <w:rFonts w:ascii="Times New Roman" w:hAnsi="Times New Roman" w:cs="Times New Roman"/>
          <w:b/>
          <w:kern w:val="24"/>
          <w:sz w:val="24"/>
          <w:szCs w:val="24"/>
        </w:rPr>
        <w:t xml:space="preserve"> Initiatives</w:t>
      </w:r>
    </w:p>
    <w:p w:rsidR="00B45904" w:rsidRDefault="00D60D9E"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Policymakers appear to believe that co-regulation’s strengths outweigh its weaknesses.   The three leading cross-border privacy rule initiatives all employ co-regulatory enforceable codes of conduct.  These are: </w:t>
      </w:r>
      <w:r w:rsidR="00B45904">
        <w:rPr>
          <w:rFonts w:ascii="Times New Roman" w:hAnsi="Times New Roman" w:cs="Times New Roman"/>
          <w:kern w:val="24"/>
          <w:sz w:val="24"/>
          <w:szCs w:val="24"/>
        </w:rPr>
        <w:t xml:space="preserve">Binding Corporate Rules (BCRs), APEC Cross-Border Privacy Rules (CBPR), and the </w:t>
      </w:r>
      <w:r w:rsidR="001C6D99">
        <w:rPr>
          <w:rFonts w:ascii="Times New Roman" w:hAnsi="Times New Roman" w:cs="Times New Roman"/>
          <w:kern w:val="24"/>
          <w:sz w:val="24"/>
          <w:szCs w:val="24"/>
        </w:rPr>
        <w:t>US</w:t>
      </w:r>
      <w:r w:rsidR="00B45904">
        <w:rPr>
          <w:rFonts w:ascii="Times New Roman" w:hAnsi="Times New Roman" w:cs="Times New Roman"/>
          <w:kern w:val="24"/>
          <w:sz w:val="24"/>
          <w:szCs w:val="24"/>
        </w:rPr>
        <w:t>-</w:t>
      </w:r>
      <w:r w:rsidR="001C6D99">
        <w:rPr>
          <w:rFonts w:ascii="Times New Roman" w:hAnsi="Times New Roman" w:cs="Times New Roman"/>
          <w:kern w:val="24"/>
          <w:sz w:val="24"/>
          <w:szCs w:val="24"/>
        </w:rPr>
        <w:t xml:space="preserve">E.U. </w:t>
      </w:r>
      <w:r w:rsidR="00B45904">
        <w:rPr>
          <w:rFonts w:ascii="Times New Roman" w:hAnsi="Times New Roman" w:cs="Times New Roman"/>
          <w:kern w:val="24"/>
          <w:sz w:val="24"/>
          <w:szCs w:val="24"/>
        </w:rPr>
        <w:t>Safe Harbor Agreement.</w:t>
      </w:r>
      <w:r>
        <w:rPr>
          <w:rFonts w:ascii="Times New Roman" w:hAnsi="Times New Roman" w:cs="Times New Roman"/>
          <w:kern w:val="24"/>
          <w:sz w:val="24"/>
          <w:szCs w:val="24"/>
        </w:rPr>
        <w:t xml:space="preserve"> </w:t>
      </w:r>
    </w:p>
    <w:p w:rsidR="00D60D9E" w:rsidRDefault="00D60D9E" w:rsidP="001610E3">
      <w:pPr>
        <w:autoSpaceDE w:val="0"/>
        <w:autoSpaceDN w:val="0"/>
        <w:adjustRightInd w:val="0"/>
        <w:spacing w:after="0" w:line="480" w:lineRule="auto"/>
        <w:rPr>
          <w:rFonts w:ascii="Times New Roman" w:hAnsi="Times New Roman" w:cs="Times New Roman"/>
          <w:kern w:val="24"/>
          <w:sz w:val="24"/>
          <w:szCs w:val="24"/>
        </w:rPr>
      </w:pPr>
    </w:p>
    <w:p w:rsidR="007A21A7" w:rsidRPr="0078420B" w:rsidRDefault="00D60D9E" w:rsidP="0078420B">
      <w:pPr>
        <w:pStyle w:val="ListParagraph"/>
        <w:numPr>
          <w:ilvl w:val="0"/>
          <w:numId w:val="15"/>
        </w:numPr>
        <w:autoSpaceDE w:val="0"/>
        <w:autoSpaceDN w:val="0"/>
        <w:adjustRightInd w:val="0"/>
        <w:spacing w:after="0" w:line="480" w:lineRule="auto"/>
        <w:rPr>
          <w:rFonts w:ascii="Times New Roman" w:hAnsi="Times New Roman" w:cs="Times New Roman"/>
          <w:kern w:val="24"/>
          <w:sz w:val="24"/>
          <w:szCs w:val="24"/>
          <w:u w:val="single"/>
        </w:rPr>
      </w:pPr>
      <w:r w:rsidRPr="00D60D9E">
        <w:rPr>
          <w:rFonts w:ascii="Times New Roman" w:hAnsi="Times New Roman" w:cs="Times New Roman"/>
          <w:kern w:val="24"/>
          <w:sz w:val="24"/>
          <w:szCs w:val="24"/>
          <w:u w:val="single"/>
        </w:rPr>
        <w:t>Binding Corporate Rules</w:t>
      </w:r>
    </w:p>
    <w:p w:rsidR="004B2CBD" w:rsidRDefault="007A21A7"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Article 25 of the 1995 Data Protection Directive allows</w:t>
      </w:r>
      <w:r w:rsidR="009C6376">
        <w:rPr>
          <w:rFonts w:ascii="Times New Roman" w:hAnsi="Times New Roman" w:cs="Times New Roman"/>
          <w:kern w:val="24"/>
          <w:sz w:val="24"/>
          <w:szCs w:val="24"/>
        </w:rPr>
        <w:t xml:space="preserve"> companies to transfer </w:t>
      </w:r>
      <w:r>
        <w:rPr>
          <w:rFonts w:ascii="Times New Roman" w:hAnsi="Times New Roman" w:cs="Times New Roman"/>
          <w:kern w:val="24"/>
          <w:sz w:val="24"/>
          <w:szCs w:val="24"/>
        </w:rPr>
        <w:t xml:space="preserve">personal data from an </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Member State to a non-</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nation only where the laws of the non-</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nation “</w:t>
      </w:r>
      <w:proofErr w:type="gramStart"/>
      <w:r>
        <w:rPr>
          <w:rFonts w:ascii="Times New Roman" w:hAnsi="Times New Roman" w:cs="Times New Roman"/>
          <w:kern w:val="24"/>
          <w:sz w:val="24"/>
          <w:szCs w:val="24"/>
        </w:rPr>
        <w:t>ensure[</w:t>
      </w:r>
      <w:proofErr w:type="gramEnd"/>
      <w:r>
        <w:rPr>
          <w:rFonts w:ascii="Times New Roman" w:hAnsi="Times New Roman" w:cs="Times New Roman"/>
          <w:kern w:val="24"/>
          <w:sz w:val="24"/>
          <w:szCs w:val="24"/>
        </w:rPr>
        <w:t>] an adequate level of protection.”</w:t>
      </w:r>
      <w:r w:rsidR="005F3326">
        <w:rPr>
          <w:rStyle w:val="FootnoteReference"/>
          <w:rFonts w:ascii="Times New Roman" w:hAnsi="Times New Roman" w:cs="Times New Roman"/>
          <w:kern w:val="24"/>
          <w:sz w:val="24"/>
          <w:szCs w:val="24"/>
        </w:rPr>
        <w:footnoteReference w:id="101"/>
      </w:r>
      <w:r w:rsidR="005F3326">
        <w:rPr>
          <w:rFonts w:ascii="Times New Roman" w:hAnsi="Times New Roman" w:cs="Times New Roman"/>
          <w:kern w:val="24"/>
          <w:sz w:val="24"/>
          <w:szCs w:val="24"/>
        </w:rPr>
        <w:t xml:space="preserve"> This </w:t>
      </w:r>
      <w:r w:rsidR="00281C0B">
        <w:rPr>
          <w:rFonts w:ascii="Times New Roman" w:hAnsi="Times New Roman" w:cs="Times New Roman"/>
          <w:kern w:val="24"/>
          <w:sz w:val="24"/>
          <w:szCs w:val="24"/>
        </w:rPr>
        <w:t xml:space="preserve">requirement can pose a significant obstacle for </w:t>
      </w:r>
      <w:r w:rsidR="004B2CBD">
        <w:rPr>
          <w:rFonts w:ascii="Times New Roman" w:hAnsi="Times New Roman" w:cs="Times New Roman"/>
          <w:kern w:val="24"/>
          <w:sz w:val="24"/>
          <w:szCs w:val="24"/>
        </w:rPr>
        <w:t xml:space="preserve">multi-national </w:t>
      </w:r>
      <w:r w:rsidR="00281C0B">
        <w:rPr>
          <w:rFonts w:ascii="Times New Roman" w:hAnsi="Times New Roman" w:cs="Times New Roman"/>
          <w:kern w:val="24"/>
          <w:sz w:val="24"/>
          <w:szCs w:val="24"/>
        </w:rPr>
        <w:t xml:space="preserve">companies that </w:t>
      </w:r>
      <w:r w:rsidR="004B2CBD">
        <w:rPr>
          <w:rFonts w:ascii="Times New Roman" w:hAnsi="Times New Roman" w:cs="Times New Roman"/>
          <w:kern w:val="24"/>
          <w:sz w:val="24"/>
          <w:szCs w:val="24"/>
        </w:rPr>
        <w:t xml:space="preserve">that wish to transfer personal data between operations </w:t>
      </w:r>
      <w:r w:rsidR="00281C0B">
        <w:rPr>
          <w:rFonts w:ascii="Times New Roman" w:hAnsi="Times New Roman" w:cs="Times New Roman"/>
          <w:kern w:val="24"/>
          <w:sz w:val="24"/>
          <w:szCs w:val="24"/>
        </w:rPr>
        <w:t xml:space="preserve">in the </w:t>
      </w:r>
      <w:r w:rsidR="001C6D99">
        <w:rPr>
          <w:rFonts w:ascii="Times New Roman" w:hAnsi="Times New Roman" w:cs="Times New Roman"/>
          <w:kern w:val="24"/>
          <w:sz w:val="24"/>
          <w:szCs w:val="24"/>
        </w:rPr>
        <w:t xml:space="preserve">E.U. </w:t>
      </w:r>
      <w:r w:rsidR="00281C0B">
        <w:rPr>
          <w:rFonts w:ascii="Times New Roman" w:hAnsi="Times New Roman" w:cs="Times New Roman"/>
          <w:kern w:val="24"/>
          <w:sz w:val="24"/>
          <w:szCs w:val="24"/>
        </w:rPr>
        <w:t xml:space="preserve">and </w:t>
      </w:r>
      <w:r w:rsidR="009C6376">
        <w:rPr>
          <w:rFonts w:ascii="Times New Roman" w:hAnsi="Times New Roman" w:cs="Times New Roman"/>
          <w:kern w:val="24"/>
          <w:sz w:val="24"/>
          <w:szCs w:val="24"/>
        </w:rPr>
        <w:t xml:space="preserve">those </w:t>
      </w:r>
      <w:r w:rsidR="00281C0B">
        <w:rPr>
          <w:rFonts w:ascii="Times New Roman" w:hAnsi="Times New Roman" w:cs="Times New Roman"/>
          <w:kern w:val="24"/>
          <w:sz w:val="24"/>
          <w:szCs w:val="24"/>
        </w:rPr>
        <w:t>in countries that have not yet passed laws establishing “adequate” privacy protections.</w:t>
      </w:r>
      <w:r w:rsidR="004B2CBD">
        <w:rPr>
          <w:rFonts w:ascii="Times New Roman" w:hAnsi="Times New Roman" w:cs="Times New Roman"/>
          <w:kern w:val="24"/>
          <w:sz w:val="24"/>
          <w:szCs w:val="24"/>
        </w:rPr>
        <w:t xml:space="preserve"> </w:t>
      </w:r>
    </w:p>
    <w:p w:rsidR="009C6376" w:rsidRDefault="004B2CBD"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Binding Corporate Rules (BCRs) provide </w:t>
      </w:r>
      <w:r w:rsidR="00134FE7">
        <w:rPr>
          <w:rFonts w:ascii="Times New Roman" w:hAnsi="Times New Roman" w:cs="Times New Roman"/>
          <w:kern w:val="24"/>
          <w:sz w:val="24"/>
          <w:szCs w:val="24"/>
        </w:rPr>
        <w:t>a way to accomplish such transfers</w:t>
      </w:r>
      <w:r>
        <w:rPr>
          <w:rFonts w:ascii="Times New Roman" w:hAnsi="Times New Roman" w:cs="Times New Roman"/>
          <w:kern w:val="24"/>
          <w:sz w:val="24"/>
          <w:szCs w:val="24"/>
        </w:rPr>
        <w:t xml:space="preserve"> without violating the Directive</w:t>
      </w:r>
      <w:r w:rsidR="00581AC0">
        <w:rPr>
          <w:rFonts w:ascii="Times New Roman" w:hAnsi="Times New Roman" w:cs="Times New Roman"/>
          <w:kern w:val="24"/>
          <w:sz w:val="24"/>
          <w:szCs w:val="24"/>
        </w:rPr>
        <w:t>.</w:t>
      </w:r>
      <w:r w:rsidR="00581AC0">
        <w:rPr>
          <w:rStyle w:val="FootnoteReference"/>
          <w:rFonts w:ascii="Times New Roman" w:hAnsi="Times New Roman" w:cs="Times New Roman"/>
          <w:kern w:val="24"/>
          <w:sz w:val="24"/>
          <w:szCs w:val="24"/>
        </w:rPr>
        <w:footnoteReference w:id="102"/>
      </w:r>
      <w:r w:rsidR="00134FE7">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The </w:t>
      </w:r>
      <w:r w:rsidR="00581AC0">
        <w:rPr>
          <w:rFonts w:ascii="Times New Roman" w:hAnsi="Times New Roman" w:cs="Times New Roman"/>
          <w:kern w:val="24"/>
          <w:sz w:val="24"/>
          <w:szCs w:val="24"/>
        </w:rPr>
        <w:t xml:space="preserve">multi-national </w:t>
      </w:r>
      <w:r w:rsidR="00134FE7">
        <w:rPr>
          <w:rFonts w:ascii="Times New Roman" w:hAnsi="Times New Roman" w:cs="Times New Roman"/>
          <w:kern w:val="24"/>
          <w:sz w:val="24"/>
          <w:szCs w:val="24"/>
        </w:rPr>
        <w:t xml:space="preserve">company </w:t>
      </w:r>
      <w:r w:rsidR="00581AC0">
        <w:rPr>
          <w:rFonts w:ascii="Times New Roman" w:hAnsi="Times New Roman" w:cs="Times New Roman"/>
          <w:kern w:val="24"/>
          <w:sz w:val="24"/>
          <w:szCs w:val="24"/>
        </w:rPr>
        <w:t xml:space="preserve">creates a </w:t>
      </w:r>
      <w:r w:rsidR="004D3F21">
        <w:rPr>
          <w:rFonts w:ascii="Times New Roman" w:hAnsi="Times New Roman" w:cs="Times New Roman"/>
          <w:kern w:val="24"/>
          <w:sz w:val="24"/>
          <w:szCs w:val="24"/>
        </w:rPr>
        <w:t xml:space="preserve">legally-binding </w:t>
      </w:r>
      <w:r w:rsidR="00581AC0">
        <w:rPr>
          <w:rFonts w:ascii="Times New Roman" w:hAnsi="Times New Roman" w:cs="Times New Roman"/>
          <w:kern w:val="24"/>
          <w:sz w:val="24"/>
          <w:szCs w:val="24"/>
        </w:rPr>
        <w:t>set of rules</w:t>
      </w:r>
      <w:r w:rsidR="004D3F21">
        <w:rPr>
          <w:rStyle w:val="FootnoteReference"/>
          <w:rFonts w:ascii="Times New Roman" w:hAnsi="Times New Roman" w:cs="Times New Roman"/>
          <w:kern w:val="24"/>
          <w:sz w:val="24"/>
          <w:szCs w:val="24"/>
        </w:rPr>
        <w:footnoteReference w:id="103"/>
      </w:r>
      <w:r w:rsidR="00581AC0">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which </w:t>
      </w:r>
      <w:r w:rsidR="004D3F21">
        <w:rPr>
          <w:rFonts w:ascii="Times New Roman" w:hAnsi="Times New Roman" w:cs="Times New Roman"/>
          <w:kern w:val="24"/>
          <w:sz w:val="24"/>
          <w:szCs w:val="24"/>
        </w:rPr>
        <w:t xml:space="preserve">can </w:t>
      </w:r>
      <w:r>
        <w:rPr>
          <w:rFonts w:ascii="Times New Roman" w:hAnsi="Times New Roman" w:cs="Times New Roman"/>
          <w:kern w:val="24"/>
          <w:sz w:val="24"/>
          <w:szCs w:val="24"/>
        </w:rPr>
        <w:t xml:space="preserve">take the form of a </w:t>
      </w:r>
      <w:r w:rsidR="00581AC0">
        <w:rPr>
          <w:rFonts w:ascii="Times New Roman" w:hAnsi="Times New Roman" w:cs="Times New Roman"/>
          <w:kern w:val="24"/>
          <w:sz w:val="24"/>
          <w:szCs w:val="24"/>
        </w:rPr>
        <w:t>code of conduct) that</w:t>
      </w:r>
      <w:r w:rsidR="00F823AA">
        <w:rPr>
          <w:rFonts w:ascii="Times New Roman" w:hAnsi="Times New Roman" w:cs="Times New Roman"/>
          <w:kern w:val="24"/>
          <w:sz w:val="24"/>
          <w:szCs w:val="24"/>
        </w:rPr>
        <w:t xml:space="preserve">, if followed, </w:t>
      </w:r>
      <w:r w:rsidR="00581AC0">
        <w:rPr>
          <w:rFonts w:ascii="Times New Roman" w:hAnsi="Times New Roman" w:cs="Times New Roman"/>
          <w:kern w:val="24"/>
          <w:sz w:val="24"/>
          <w:szCs w:val="24"/>
        </w:rPr>
        <w:t>provide “adequate” protect</w:t>
      </w:r>
      <w:r>
        <w:rPr>
          <w:rFonts w:ascii="Times New Roman" w:hAnsi="Times New Roman" w:cs="Times New Roman"/>
          <w:kern w:val="24"/>
          <w:sz w:val="24"/>
          <w:szCs w:val="24"/>
        </w:rPr>
        <w:t xml:space="preserve">ions for personal information. </w:t>
      </w:r>
      <w:r w:rsidR="00581AC0">
        <w:rPr>
          <w:rFonts w:ascii="Times New Roman" w:hAnsi="Times New Roman" w:cs="Times New Roman"/>
          <w:kern w:val="24"/>
          <w:sz w:val="24"/>
          <w:szCs w:val="24"/>
        </w:rPr>
        <w:t xml:space="preserve">It commits </w:t>
      </w:r>
      <w:r w:rsidR="00F823AA">
        <w:rPr>
          <w:rFonts w:ascii="Times New Roman" w:hAnsi="Times New Roman" w:cs="Times New Roman"/>
          <w:kern w:val="24"/>
          <w:sz w:val="24"/>
          <w:szCs w:val="24"/>
        </w:rPr>
        <w:t xml:space="preserve">that </w:t>
      </w:r>
      <w:proofErr w:type="gramStart"/>
      <w:r w:rsidR="00F823AA">
        <w:rPr>
          <w:rFonts w:ascii="Times New Roman" w:hAnsi="Times New Roman" w:cs="Times New Roman"/>
          <w:kern w:val="24"/>
          <w:sz w:val="24"/>
          <w:szCs w:val="24"/>
        </w:rPr>
        <w:t>its</w:t>
      </w:r>
      <w:proofErr w:type="gramEnd"/>
      <w:r w:rsidR="00F823AA">
        <w:rPr>
          <w:rFonts w:ascii="Times New Roman" w:hAnsi="Times New Roman" w:cs="Times New Roman"/>
          <w:kern w:val="24"/>
          <w:sz w:val="24"/>
          <w:szCs w:val="24"/>
        </w:rPr>
        <w:t xml:space="preserve"> </w:t>
      </w:r>
      <w:r w:rsidR="009C6376">
        <w:rPr>
          <w:rFonts w:ascii="Times New Roman" w:hAnsi="Times New Roman" w:cs="Times New Roman"/>
          <w:kern w:val="24"/>
          <w:sz w:val="24"/>
          <w:szCs w:val="24"/>
        </w:rPr>
        <w:t>entire corporate group—</w:t>
      </w:r>
      <w:r w:rsidR="00581AC0">
        <w:rPr>
          <w:rFonts w:ascii="Times New Roman" w:hAnsi="Times New Roman" w:cs="Times New Roman"/>
          <w:kern w:val="24"/>
          <w:sz w:val="24"/>
          <w:szCs w:val="24"/>
        </w:rPr>
        <w:t>including its operations in non-</w:t>
      </w:r>
      <w:r w:rsidR="001C6D99">
        <w:rPr>
          <w:rFonts w:ascii="Times New Roman" w:hAnsi="Times New Roman" w:cs="Times New Roman"/>
          <w:kern w:val="24"/>
          <w:sz w:val="24"/>
          <w:szCs w:val="24"/>
        </w:rPr>
        <w:t xml:space="preserve">E.U. </w:t>
      </w:r>
      <w:r w:rsidR="00581AC0">
        <w:rPr>
          <w:rFonts w:ascii="Times New Roman" w:hAnsi="Times New Roman" w:cs="Times New Roman"/>
          <w:kern w:val="24"/>
          <w:sz w:val="24"/>
          <w:szCs w:val="24"/>
        </w:rPr>
        <w:t>nations</w:t>
      </w:r>
      <w:r w:rsidR="009C6376">
        <w:rPr>
          <w:rFonts w:ascii="Times New Roman" w:hAnsi="Times New Roman" w:cs="Times New Roman"/>
          <w:kern w:val="24"/>
          <w:sz w:val="24"/>
          <w:szCs w:val="24"/>
        </w:rPr>
        <w:t>—</w:t>
      </w:r>
      <w:r w:rsidR="00F823AA">
        <w:rPr>
          <w:rFonts w:ascii="Times New Roman" w:hAnsi="Times New Roman" w:cs="Times New Roman"/>
          <w:kern w:val="24"/>
          <w:sz w:val="24"/>
          <w:szCs w:val="24"/>
        </w:rPr>
        <w:t xml:space="preserve">will </w:t>
      </w:r>
      <w:r w:rsidR="004D3F21">
        <w:rPr>
          <w:rFonts w:ascii="Times New Roman" w:hAnsi="Times New Roman" w:cs="Times New Roman"/>
          <w:kern w:val="24"/>
          <w:sz w:val="24"/>
          <w:szCs w:val="24"/>
        </w:rPr>
        <w:t xml:space="preserve">be bound by, and will </w:t>
      </w:r>
      <w:r w:rsidR="00F823AA">
        <w:rPr>
          <w:rFonts w:ascii="Times New Roman" w:hAnsi="Times New Roman" w:cs="Times New Roman"/>
          <w:kern w:val="24"/>
          <w:sz w:val="24"/>
          <w:szCs w:val="24"/>
        </w:rPr>
        <w:t>follow</w:t>
      </w:r>
      <w:r w:rsidR="004D3F21">
        <w:rPr>
          <w:rFonts w:ascii="Times New Roman" w:hAnsi="Times New Roman" w:cs="Times New Roman"/>
          <w:kern w:val="24"/>
          <w:sz w:val="24"/>
          <w:szCs w:val="24"/>
        </w:rPr>
        <w:t>,</w:t>
      </w:r>
      <w:r w:rsidR="00F823AA">
        <w:rPr>
          <w:rFonts w:ascii="Times New Roman" w:hAnsi="Times New Roman" w:cs="Times New Roman"/>
          <w:kern w:val="24"/>
          <w:sz w:val="24"/>
          <w:szCs w:val="24"/>
        </w:rPr>
        <w:t xml:space="preserve"> these rules</w:t>
      </w:r>
      <w:r>
        <w:rPr>
          <w:rFonts w:ascii="Times New Roman" w:hAnsi="Times New Roman" w:cs="Times New Roman"/>
          <w:kern w:val="24"/>
          <w:sz w:val="24"/>
          <w:szCs w:val="24"/>
        </w:rPr>
        <w:t xml:space="preserve">. </w:t>
      </w:r>
      <w:r w:rsidR="00581AC0">
        <w:rPr>
          <w:rFonts w:ascii="Times New Roman" w:hAnsi="Times New Roman" w:cs="Times New Roman"/>
          <w:kern w:val="24"/>
          <w:sz w:val="24"/>
          <w:szCs w:val="24"/>
        </w:rPr>
        <w:t xml:space="preserve">It then </w:t>
      </w:r>
      <w:r w:rsidR="00F823AA">
        <w:rPr>
          <w:rFonts w:ascii="Times New Roman" w:hAnsi="Times New Roman" w:cs="Times New Roman"/>
          <w:kern w:val="24"/>
          <w:sz w:val="24"/>
          <w:szCs w:val="24"/>
        </w:rPr>
        <w:t xml:space="preserve">submits these Binding Corporate Rules </w:t>
      </w:r>
      <w:r w:rsidR="00581AC0">
        <w:rPr>
          <w:rFonts w:ascii="Times New Roman" w:hAnsi="Times New Roman" w:cs="Times New Roman"/>
          <w:kern w:val="24"/>
          <w:sz w:val="24"/>
          <w:szCs w:val="24"/>
        </w:rPr>
        <w:t xml:space="preserve">to a “lead DPA” which evaluates whether, in fact, </w:t>
      </w:r>
      <w:r>
        <w:rPr>
          <w:rFonts w:ascii="Times New Roman" w:hAnsi="Times New Roman" w:cs="Times New Roman"/>
          <w:kern w:val="24"/>
          <w:sz w:val="24"/>
          <w:szCs w:val="24"/>
        </w:rPr>
        <w:t>the rules</w:t>
      </w:r>
      <w:r w:rsidR="00F823AA">
        <w:rPr>
          <w:rFonts w:ascii="Times New Roman" w:hAnsi="Times New Roman" w:cs="Times New Roman"/>
          <w:kern w:val="24"/>
          <w:sz w:val="24"/>
          <w:szCs w:val="24"/>
        </w:rPr>
        <w:t xml:space="preserve"> provide “adequate” protection.</w:t>
      </w:r>
      <w:r w:rsidR="0001470B">
        <w:rPr>
          <w:rStyle w:val="FootnoteReference"/>
          <w:rFonts w:ascii="Times New Roman" w:hAnsi="Times New Roman" w:cs="Times New Roman"/>
          <w:kern w:val="24"/>
          <w:sz w:val="24"/>
          <w:szCs w:val="24"/>
        </w:rPr>
        <w:footnoteReference w:id="104"/>
      </w:r>
      <w:r w:rsidR="00F823AA">
        <w:rPr>
          <w:rFonts w:ascii="Times New Roman" w:hAnsi="Times New Roman" w:cs="Times New Roman"/>
          <w:kern w:val="24"/>
          <w:sz w:val="24"/>
          <w:szCs w:val="24"/>
        </w:rPr>
        <w:t xml:space="preserve">  In making this assessment, the lead DPA consults with, and receives comments from, the DPA’s of other Member States in which the company operates.</w:t>
      </w:r>
      <w:r w:rsidR="0001470B">
        <w:rPr>
          <w:rStyle w:val="FootnoteReference"/>
          <w:rFonts w:ascii="Times New Roman" w:hAnsi="Times New Roman" w:cs="Times New Roman"/>
          <w:kern w:val="24"/>
          <w:sz w:val="24"/>
          <w:szCs w:val="24"/>
        </w:rPr>
        <w:footnoteReference w:id="105"/>
      </w:r>
      <w:r w:rsidR="00F823AA">
        <w:rPr>
          <w:rFonts w:ascii="Times New Roman" w:hAnsi="Times New Roman" w:cs="Times New Roman"/>
          <w:kern w:val="24"/>
          <w:sz w:val="24"/>
          <w:szCs w:val="24"/>
        </w:rPr>
        <w:t xml:space="preserve">  If, after receiving these comments, the lead DPA determines that the corporate rules do, in fact, </w:t>
      </w:r>
      <w:proofErr w:type="gramStart"/>
      <w:r w:rsidR="009C6376">
        <w:rPr>
          <w:rFonts w:ascii="Times New Roman" w:hAnsi="Times New Roman" w:cs="Times New Roman"/>
          <w:kern w:val="24"/>
          <w:sz w:val="24"/>
          <w:szCs w:val="24"/>
        </w:rPr>
        <w:t>provide</w:t>
      </w:r>
      <w:proofErr w:type="gramEnd"/>
      <w:r w:rsidR="009C6376">
        <w:rPr>
          <w:rFonts w:ascii="Times New Roman" w:hAnsi="Times New Roman" w:cs="Times New Roman"/>
          <w:kern w:val="24"/>
          <w:sz w:val="24"/>
          <w:szCs w:val="24"/>
        </w:rPr>
        <w:t xml:space="preserve"> </w:t>
      </w:r>
      <w:r w:rsidR="00F823AA">
        <w:rPr>
          <w:rFonts w:ascii="Times New Roman" w:hAnsi="Times New Roman" w:cs="Times New Roman"/>
          <w:kern w:val="24"/>
          <w:sz w:val="24"/>
          <w:szCs w:val="24"/>
        </w:rPr>
        <w:t>an “adequate” level of protection, it approves them.  The company can then transfer personal data among its v</w:t>
      </w:r>
      <w:r w:rsidR="009C6376">
        <w:rPr>
          <w:rFonts w:ascii="Times New Roman" w:hAnsi="Times New Roman" w:cs="Times New Roman"/>
          <w:kern w:val="24"/>
          <w:sz w:val="24"/>
          <w:szCs w:val="24"/>
        </w:rPr>
        <w:t xml:space="preserve">arious </w:t>
      </w:r>
      <w:r w:rsidR="001C6D99">
        <w:rPr>
          <w:rFonts w:ascii="Times New Roman" w:hAnsi="Times New Roman" w:cs="Times New Roman"/>
          <w:kern w:val="24"/>
          <w:sz w:val="24"/>
          <w:szCs w:val="24"/>
        </w:rPr>
        <w:t xml:space="preserve">E.U. </w:t>
      </w:r>
      <w:r w:rsidR="009C6376">
        <w:rPr>
          <w:rFonts w:ascii="Times New Roman" w:hAnsi="Times New Roman" w:cs="Times New Roman"/>
          <w:kern w:val="24"/>
          <w:sz w:val="24"/>
          <w:szCs w:val="24"/>
        </w:rPr>
        <w:t>and non-</w:t>
      </w:r>
      <w:r w:rsidR="001C6D99">
        <w:rPr>
          <w:rFonts w:ascii="Times New Roman" w:hAnsi="Times New Roman" w:cs="Times New Roman"/>
          <w:kern w:val="24"/>
          <w:sz w:val="24"/>
          <w:szCs w:val="24"/>
        </w:rPr>
        <w:t xml:space="preserve">E.U. </w:t>
      </w:r>
      <w:r w:rsidR="009C6376">
        <w:rPr>
          <w:rFonts w:ascii="Times New Roman" w:hAnsi="Times New Roman" w:cs="Times New Roman"/>
          <w:kern w:val="24"/>
          <w:sz w:val="24"/>
          <w:szCs w:val="24"/>
        </w:rPr>
        <w:t>operations</w:t>
      </w:r>
      <w:r w:rsidR="00F823AA">
        <w:rPr>
          <w:rFonts w:ascii="Times New Roman" w:hAnsi="Times New Roman" w:cs="Times New Roman"/>
          <w:kern w:val="24"/>
          <w:sz w:val="24"/>
          <w:szCs w:val="24"/>
        </w:rPr>
        <w:t xml:space="preserve"> so long as it does so in compliance with the approved rules.  </w:t>
      </w:r>
      <w:r w:rsidR="009C6376">
        <w:rPr>
          <w:rFonts w:ascii="Times New Roman" w:hAnsi="Times New Roman" w:cs="Times New Roman"/>
          <w:kern w:val="24"/>
          <w:sz w:val="24"/>
          <w:szCs w:val="24"/>
        </w:rPr>
        <w:t>This is co-regulation in the sense that the company and the relevant DPAs work together to negotiate and craft the rules.</w:t>
      </w:r>
    </w:p>
    <w:p w:rsidR="0012084E" w:rsidRDefault="009C6376"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Binding Corporate Rules create </w:t>
      </w:r>
      <w:r w:rsidR="00F823AA">
        <w:rPr>
          <w:rFonts w:ascii="Times New Roman" w:hAnsi="Times New Roman" w:cs="Times New Roman"/>
          <w:kern w:val="24"/>
          <w:sz w:val="24"/>
          <w:szCs w:val="24"/>
        </w:rPr>
        <w:t xml:space="preserve">legal safe harbor with respect to the Article 25 adequacy requirement.  </w:t>
      </w:r>
      <w:r>
        <w:rPr>
          <w:rFonts w:ascii="Times New Roman" w:hAnsi="Times New Roman" w:cs="Times New Roman"/>
          <w:kern w:val="24"/>
          <w:sz w:val="24"/>
          <w:szCs w:val="24"/>
        </w:rPr>
        <w:t xml:space="preserve">That is their key function.  However, they do not </w:t>
      </w:r>
      <w:r w:rsidR="0001470B">
        <w:rPr>
          <w:rFonts w:ascii="Times New Roman" w:hAnsi="Times New Roman" w:cs="Times New Roman"/>
          <w:kern w:val="24"/>
          <w:sz w:val="24"/>
          <w:szCs w:val="24"/>
        </w:rPr>
        <w:t xml:space="preserve">necessarily </w:t>
      </w:r>
      <w:r>
        <w:rPr>
          <w:rFonts w:ascii="Times New Roman" w:hAnsi="Times New Roman" w:cs="Times New Roman"/>
          <w:kern w:val="24"/>
          <w:sz w:val="24"/>
          <w:szCs w:val="24"/>
        </w:rPr>
        <w:t xml:space="preserve">create a safe harbor with respect to the data protection laws of specific </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 xml:space="preserve">Member States; nor do they </w:t>
      </w:r>
      <w:r w:rsidR="0001470B">
        <w:rPr>
          <w:rFonts w:ascii="Times New Roman" w:hAnsi="Times New Roman" w:cs="Times New Roman"/>
          <w:kern w:val="24"/>
          <w:sz w:val="24"/>
          <w:szCs w:val="24"/>
        </w:rPr>
        <w:t xml:space="preserve">necessarily </w:t>
      </w:r>
      <w:r>
        <w:rPr>
          <w:rFonts w:ascii="Times New Roman" w:hAnsi="Times New Roman" w:cs="Times New Roman"/>
          <w:kern w:val="24"/>
          <w:sz w:val="24"/>
          <w:szCs w:val="24"/>
        </w:rPr>
        <w:t>do so with respect to the laws of the non-</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nations to which the company transfers the data.</w:t>
      </w:r>
      <w:r w:rsidR="0001470B">
        <w:rPr>
          <w:rStyle w:val="FootnoteReference"/>
          <w:rFonts w:ascii="Times New Roman" w:hAnsi="Times New Roman" w:cs="Times New Roman"/>
          <w:kern w:val="24"/>
          <w:sz w:val="24"/>
          <w:szCs w:val="24"/>
        </w:rPr>
        <w:footnoteReference w:id="106"/>
      </w:r>
      <w:r>
        <w:rPr>
          <w:rFonts w:ascii="Times New Roman" w:hAnsi="Times New Roman" w:cs="Times New Roman"/>
          <w:kern w:val="24"/>
          <w:sz w:val="24"/>
          <w:szCs w:val="24"/>
        </w:rPr>
        <w:t xml:space="preserve"> This limits BCR</w:t>
      </w:r>
      <w:r w:rsidR="002B319A">
        <w:rPr>
          <w:rFonts w:ascii="Times New Roman" w:hAnsi="Times New Roman" w:cs="Times New Roman"/>
          <w:kern w:val="24"/>
          <w:sz w:val="24"/>
          <w:szCs w:val="24"/>
        </w:rPr>
        <w:t>’</w:t>
      </w:r>
      <w:r>
        <w:rPr>
          <w:rFonts w:ascii="Times New Roman" w:hAnsi="Times New Roman" w:cs="Times New Roman"/>
          <w:kern w:val="24"/>
          <w:sz w:val="24"/>
          <w:szCs w:val="24"/>
        </w:rPr>
        <w:t xml:space="preserve">s </w:t>
      </w:r>
      <w:r w:rsidR="002B319A">
        <w:rPr>
          <w:rFonts w:ascii="Times New Roman" w:hAnsi="Times New Roman" w:cs="Times New Roman"/>
          <w:kern w:val="24"/>
          <w:sz w:val="24"/>
          <w:szCs w:val="24"/>
        </w:rPr>
        <w:t>ability t</w:t>
      </w:r>
      <w:r w:rsidR="004D3F21">
        <w:rPr>
          <w:rFonts w:ascii="Times New Roman" w:hAnsi="Times New Roman" w:cs="Times New Roman"/>
          <w:kern w:val="24"/>
          <w:sz w:val="24"/>
          <w:szCs w:val="24"/>
        </w:rPr>
        <w:t xml:space="preserve">o create global privacy rules. </w:t>
      </w:r>
      <w:r w:rsidR="002B319A">
        <w:rPr>
          <w:rFonts w:ascii="Times New Roman" w:hAnsi="Times New Roman" w:cs="Times New Roman"/>
          <w:kern w:val="24"/>
          <w:sz w:val="24"/>
          <w:szCs w:val="24"/>
        </w:rPr>
        <w:t>Compliance with a set of approved BCRs ensures only that the company complies with the Article 25 adequacy requirement when it transfers personal information outside of the EU.  It does not guarantee that the corporation is in compliance with the relevant national data protection laws.</w:t>
      </w:r>
      <w:r w:rsidR="0001470B">
        <w:rPr>
          <w:rStyle w:val="FootnoteReference"/>
          <w:rFonts w:ascii="Times New Roman" w:hAnsi="Times New Roman" w:cs="Times New Roman"/>
          <w:kern w:val="24"/>
          <w:sz w:val="24"/>
          <w:szCs w:val="24"/>
        </w:rPr>
        <w:footnoteReference w:id="107"/>
      </w:r>
      <w:r w:rsidR="002B319A">
        <w:rPr>
          <w:rFonts w:ascii="Times New Roman" w:hAnsi="Times New Roman" w:cs="Times New Roman"/>
          <w:kern w:val="24"/>
          <w:sz w:val="24"/>
          <w:szCs w:val="24"/>
        </w:rPr>
        <w:t xml:space="preserve">  Thus, a company with an approved BCR must still undertake the costly task of complying with a variety of different data protection </w:t>
      </w:r>
      <w:r w:rsidR="004D3F21">
        <w:rPr>
          <w:rFonts w:ascii="Times New Roman" w:hAnsi="Times New Roman" w:cs="Times New Roman"/>
          <w:kern w:val="24"/>
          <w:sz w:val="24"/>
          <w:szCs w:val="24"/>
        </w:rPr>
        <w:t>laws; and r</w:t>
      </w:r>
      <w:r w:rsidR="002B319A">
        <w:rPr>
          <w:rFonts w:ascii="Times New Roman" w:hAnsi="Times New Roman" w:cs="Times New Roman"/>
          <w:kern w:val="24"/>
          <w:sz w:val="24"/>
          <w:szCs w:val="24"/>
        </w:rPr>
        <w:t>egulators, individuals and others seeking to evaluate that company’s compliance still face the uphill battle of determining which jurisdiction applies and whether the firm is in compliance with that particular set of laws.</w:t>
      </w:r>
      <w:r w:rsidR="004D3F21">
        <w:rPr>
          <w:rFonts w:ascii="Times New Roman" w:hAnsi="Times New Roman" w:cs="Times New Roman"/>
          <w:kern w:val="24"/>
          <w:sz w:val="24"/>
          <w:szCs w:val="24"/>
        </w:rPr>
        <w:t xml:space="preserve">  BCRs are further limited in that they are valid only within the corporate group for which the DPA’s have approved them.  They do not cover transfers from members of that group to other entities outside the group.</w:t>
      </w:r>
      <w:r w:rsidR="004D3F21">
        <w:rPr>
          <w:rStyle w:val="FootnoteReference"/>
          <w:rFonts w:ascii="Times New Roman" w:hAnsi="Times New Roman" w:cs="Times New Roman"/>
          <w:kern w:val="24"/>
          <w:sz w:val="24"/>
          <w:szCs w:val="24"/>
        </w:rPr>
        <w:footnoteReference w:id="108"/>
      </w:r>
      <w:r w:rsidR="002B319A">
        <w:rPr>
          <w:rFonts w:ascii="Times New Roman" w:hAnsi="Times New Roman" w:cs="Times New Roman"/>
          <w:kern w:val="24"/>
          <w:sz w:val="24"/>
          <w:szCs w:val="24"/>
        </w:rPr>
        <w:t xml:space="preserve"> </w:t>
      </w:r>
    </w:p>
    <w:p w:rsidR="00B24EF8" w:rsidRDefault="00B24EF8" w:rsidP="001610E3">
      <w:pPr>
        <w:autoSpaceDE w:val="0"/>
        <w:autoSpaceDN w:val="0"/>
        <w:adjustRightInd w:val="0"/>
        <w:spacing w:after="0" w:line="480" w:lineRule="auto"/>
        <w:rPr>
          <w:rFonts w:ascii="Times New Roman" w:hAnsi="Times New Roman" w:cs="Times New Roman"/>
          <w:kern w:val="24"/>
          <w:sz w:val="24"/>
          <w:szCs w:val="24"/>
        </w:rPr>
      </w:pPr>
    </w:p>
    <w:p w:rsidR="00B24EF8" w:rsidRPr="00B24EF8" w:rsidRDefault="00B24EF8" w:rsidP="0078420B">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B.</w:t>
      </w:r>
      <w:r w:rsidR="00DB6103">
        <w:rPr>
          <w:rFonts w:ascii="Times New Roman" w:hAnsi="Times New Roman" w:cs="Times New Roman"/>
          <w:kern w:val="24"/>
          <w:sz w:val="24"/>
          <w:szCs w:val="24"/>
        </w:rPr>
        <w:t xml:space="preserve">   </w:t>
      </w:r>
      <w:r w:rsidR="001510D5" w:rsidRPr="00DB6103">
        <w:rPr>
          <w:rFonts w:ascii="Times New Roman" w:hAnsi="Times New Roman" w:cs="Times New Roman"/>
          <w:kern w:val="24"/>
          <w:sz w:val="24"/>
          <w:szCs w:val="24"/>
          <w:u w:val="single"/>
        </w:rPr>
        <w:t>APEC Cross-Border Privacy Rules</w:t>
      </w:r>
    </w:p>
    <w:p w:rsidR="006E505C" w:rsidRDefault="006E505C"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Companies in the Asia-Pacific region </w:t>
      </w:r>
      <w:r w:rsidR="00E76D97">
        <w:rPr>
          <w:rFonts w:ascii="Times New Roman" w:hAnsi="Times New Roman" w:cs="Times New Roman"/>
          <w:kern w:val="24"/>
          <w:sz w:val="24"/>
          <w:szCs w:val="24"/>
        </w:rPr>
        <w:t>also seek to t</w:t>
      </w:r>
      <w:r>
        <w:rPr>
          <w:rFonts w:ascii="Times New Roman" w:hAnsi="Times New Roman" w:cs="Times New Roman"/>
          <w:kern w:val="24"/>
          <w:sz w:val="24"/>
          <w:szCs w:val="24"/>
        </w:rPr>
        <w:t xml:space="preserve">ransfer data </w:t>
      </w:r>
      <w:r w:rsidR="00E76D97">
        <w:rPr>
          <w:rFonts w:ascii="Times New Roman" w:hAnsi="Times New Roman" w:cs="Times New Roman"/>
          <w:kern w:val="24"/>
          <w:sz w:val="24"/>
          <w:szCs w:val="24"/>
        </w:rPr>
        <w:t>across national borders</w:t>
      </w:r>
      <w:r>
        <w:rPr>
          <w:rFonts w:ascii="Times New Roman" w:hAnsi="Times New Roman" w:cs="Times New Roman"/>
          <w:kern w:val="24"/>
          <w:sz w:val="24"/>
          <w:szCs w:val="24"/>
        </w:rPr>
        <w:t>.</w:t>
      </w:r>
    </w:p>
    <w:p w:rsidR="00F07A39" w:rsidRDefault="006E505C" w:rsidP="001610E3">
      <w:pPr>
        <w:autoSpaceDE w:val="0"/>
        <w:autoSpaceDN w:val="0"/>
        <w:adjustRightInd w:val="0"/>
        <w:spacing w:after="0" w:line="480" w:lineRule="auto"/>
        <w:rPr>
          <w:rFonts w:ascii="Times New Roman" w:hAnsi="Times New Roman" w:cs="Times New Roman"/>
          <w:kern w:val="24"/>
          <w:sz w:val="24"/>
          <w:szCs w:val="24"/>
        </w:rPr>
      </w:pPr>
      <w:r w:rsidRPr="00E76D97">
        <w:rPr>
          <w:rFonts w:ascii="Times New Roman" w:hAnsi="Times New Roman" w:cs="Times New Roman"/>
          <w:kern w:val="24"/>
          <w:sz w:val="24"/>
          <w:szCs w:val="24"/>
        </w:rPr>
        <w:t>Asia-Pacific Economic Cooperation forum (APEC)</w:t>
      </w:r>
      <w:r w:rsidR="00E76D97">
        <w:rPr>
          <w:rFonts w:ascii="Times New Roman" w:hAnsi="Times New Roman" w:cs="Times New Roman"/>
          <w:kern w:val="24"/>
          <w:sz w:val="24"/>
          <w:szCs w:val="24"/>
        </w:rPr>
        <w:t xml:space="preserve">, an organization of </w:t>
      </w:r>
      <w:r w:rsidR="00ED12F6">
        <w:rPr>
          <w:rFonts w:ascii="Times New Roman" w:hAnsi="Times New Roman" w:cs="Times New Roman"/>
          <w:kern w:val="24"/>
          <w:sz w:val="24"/>
          <w:szCs w:val="24"/>
        </w:rPr>
        <w:t xml:space="preserve">twenty-one </w:t>
      </w:r>
      <w:r w:rsidR="00BF5430">
        <w:rPr>
          <w:rFonts w:ascii="Times New Roman" w:hAnsi="Times New Roman" w:cs="Times New Roman"/>
          <w:kern w:val="24"/>
          <w:sz w:val="24"/>
          <w:szCs w:val="24"/>
        </w:rPr>
        <w:t xml:space="preserve">Asian and Pacific Rim countries </w:t>
      </w:r>
      <w:r w:rsidR="00E76D97">
        <w:rPr>
          <w:rFonts w:ascii="Times New Roman" w:hAnsi="Times New Roman" w:cs="Times New Roman"/>
          <w:kern w:val="24"/>
          <w:sz w:val="24"/>
          <w:szCs w:val="24"/>
        </w:rPr>
        <w:t xml:space="preserve">that includes the United States, </w:t>
      </w:r>
      <w:r w:rsidR="00847166">
        <w:rPr>
          <w:rFonts w:ascii="Times New Roman" w:hAnsi="Times New Roman" w:cs="Times New Roman"/>
          <w:kern w:val="24"/>
          <w:sz w:val="24"/>
          <w:szCs w:val="24"/>
        </w:rPr>
        <w:t xml:space="preserve">Canada, </w:t>
      </w:r>
      <w:r w:rsidR="00E76D97">
        <w:rPr>
          <w:rFonts w:ascii="Times New Roman" w:hAnsi="Times New Roman" w:cs="Times New Roman"/>
          <w:kern w:val="24"/>
          <w:sz w:val="24"/>
          <w:szCs w:val="24"/>
        </w:rPr>
        <w:t>Japan, China, Russia</w:t>
      </w:r>
      <w:r w:rsidR="00BF5430">
        <w:rPr>
          <w:rFonts w:ascii="Times New Roman" w:hAnsi="Times New Roman" w:cs="Times New Roman"/>
          <w:kern w:val="24"/>
          <w:sz w:val="24"/>
          <w:szCs w:val="24"/>
        </w:rPr>
        <w:t xml:space="preserve">, Mexico and </w:t>
      </w:r>
      <w:r w:rsidR="00BF5430">
        <w:rPr>
          <w:rFonts w:ascii="Times New Roman" w:hAnsi="Times New Roman" w:cs="Times New Roman"/>
          <w:kern w:val="24"/>
          <w:sz w:val="24"/>
          <w:szCs w:val="24"/>
        </w:rPr>
        <w:lastRenderedPageBreak/>
        <w:t>Chile, among others,</w:t>
      </w:r>
      <w:r w:rsidR="00BF5430">
        <w:rPr>
          <w:rStyle w:val="FootnoteReference"/>
          <w:rFonts w:ascii="Times New Roman" w:hAnsi="Times New Roman" w:cs="Times New Roman"/>
          <w:kern w:val="24"/>
          <w:sz w:val="24"/>
          <w:szCs w:val="24"/>
        </w:rPr>
        <w:footnoteReference w:id="109"/>
      </w:r>
      <w:r w:rsidR="00BF5430">
        <w:rPr>
          <w:rFonts w:ascii="Times New Roman" w:hAnsi="Times New Roman" w:cs="Times New Roman"/>
          <w:kern w:val="24"/>
          <w:sz w:val="24"/>
          <w:szCs w:val="24"/>
        </w:rPr>
        <w:t xml:space="preserve"> h</w:t>
      </w:r>
      <w:r w:rsidR="00F07A39">
        <w:rPr>
          <w:rFonts w:ascii="Times New Roman" w:hAnsi="Times New Roman" w:cs="Times New Roman"/>
          <w:kern w:val="24"/>
          <w:sz w:val="24"/>
          <w:szCs w:val="24"/>
        </w:rPr>
        <w:t>as developed a regula</w:t>
      </w:r>
      <w:r w:rsidR="00C50EB1">
        <w:rPr>
          <w:rFonts w:ascii="Times New Roman" w:hAnsi="Times New Roman" w:cs="Times New Roman"/>
          <w:kern w:val="24"/>
          <w:sz w:val="24"/>
          <w:szCs w:val="24"/>
        </w:rPr>
        <w:t xml:space="preserve">tory initiative </w:t>
      </w:r>
      <w:r w:rsidR="00BF5430">
        <w:rPr>
          <w:rFonts w:ascii="Times New Roman" w:hAnsi="Times New Roman" w:cs="Times New Roman"/>
          <w:kern w:val="24"/>
          <w:sz w:val="24"/>
          <w:szCs w:val="24"/>
        </w:rPr>
        <w:t>to facilitate these transfers</w:t>
      </w:r>
      <w:r w:rsidR="00C50EB1">
        <w:rPr>
          <w:rFonts w:ascii="Times New Roman" w:hAnsi="Times New Roman" w:cs="Times New Roman"/>
          <w:kern w:val="24"/>
          <w:sz w:val="24"/>
          <w:szCs w:val="24"/>
        </w:rPr>
        <w:t xml:space="preserve">: The APEC Cross-Border Privacy Rules </w:t>
      </w:r>
      <w:r w:rsidR="005751E8">
        <w:rPr>
          <w:rFonts w:ascii="Times New Roman" w:hAnsi="Times New Roman" w:cs="Times New Roman"/>
          <w:kern w:val="24"/>
          <w:sz w:val="24"/>
          <w:szCs w:val="24"/>
        </w:rPr>
        <w:t xml:space="preserve">(CBPRs) </w:t>
      </w:r>
      <w:r w:rsidR="00C50EB1">
        <w:rPr>
          <w:rFonts w:ascii="Times New Roman" w:hAnsi="Times New Roman" w:cs="Times New Roman"/>
          <w:kern w:val="24"/>
          <w:sz w:val="24"/>
          <w:szCs w:val="24"/>
        </w:rPr>
        <w:t>initiative.</w:t>
      </w:r>
      <w:r w:rsidR="003723A0">
        <w:rPr>
          <w:rStyle w:val="FootnoteReference"/>
          <w:rFonts w:ascii="Times New Roman" w:hAnsi="Times New Roman" w:cs="Times New Roman"/>
          <w:kern w:val="24"/>
          <w:sz w:val="24"/>
          <w:szCs w:val="24"/>
        </w:rPr>
        <w:footnoteReference w:id="110"/>
      </w:r>
      <w:r w:rsidR="00BF5430">
        <w:rPr>
          <w:rFonts w:ascii="Times New Roman" w:hAnsi="Times New Roman" w:cs="Times New Roman"/>
          <w:kern w:val="24"/>
          <w:sz w:val="24"/>
          <w:szCs w:val="24"/>
        </w:rPr>
        <w:t xml:space="preserve"> </w:t>
      </w:r>
      <w:r w:rsidR="006E372A">
        <w:rPr>
          <w:rFonts w:ascii="Times New Roman" w:hAnsi="Times New Roman" w:cs="Times New Roman"/>
          <w:kern w:val="24"/>
          <w:sz w:val="24"/>
          <w:szCs w:val="24"/>
        </w:rPr>
        <w:t xml:space="preserve">As with </w:t>
      </w:r>
      <w:r w:rsidR="00F07A39">
        <w:rPr>
          <w:rFonts w:ascii="Times New Roman" w:hAnsi="Times New Roman" w:cs="Times New Roman"/>
          <w:kern w:val="24"/>
          <w:sz w:val="24"/>
          <w:szCs w:val="24"/>
        </w:rPr>
        <w:t xml:space="preserve">BCRs, </w:t>
      </w:r>
      <w:r w:rsidR="00BF5430">
        <w:rPr>
          <w:rFonts w:ascii="Times New Roman" w:hAnsi="Times New Roman" w:cs="Times New Roman"/>
          <w:kern w:val="24"/>
          <w:sz w:val="24"/>
          <w:szCs w:val="24"/>
        </w:rPr>
        <w:t xml:space="preserve">the APEC initiative </w:t>
      </w:r>
      <w:r w:rsidR="00F07A39">
        <w:rPr>
          <w:rFonts w:ascii="Times New Roman" w:hAnsi="Times New Roman" w:cs="Times New Roman"/>
          <w:kern w:val="24"/>
          <w:sz w:val="24"/>
          <w:szCs w:val="24"/>
        </w:rPr>
        <w:t xml:space="preserve">relies heavily on </w:t>
      </w:r>
      <w:r w:rsidR="00BF5430">
        <w:rPr>
          <w:rFonts w:ascii="Times New Roman" w:hAnsi="Times New Roman" w:cs="Times New Roman"/>
          <w:kern w:val="24"/>
          <w:sz w:val="24"/>
          <w:szCs w:val="24"/>
        </w:rPr>
        <w:t xml:space="preserve">co-regulatory </w:t>
      </w:r>
      <w:r w:rsidR="00F07A39">
        <w:rPr>
          <w:rFonts w:ascii="Times New Roman" w:hAnsi="Times New Roman" w:cs="Times New Roman"/>
          <w:kern w:val="24"/>
          <w:sz w:val="24"/>
          <w:szCs w:val="24"/>
        </w:rPr>
        <w:t>codes of conduct.</w:t>
      </w:r>
      <w:r w:rsidR="006E372A">
        <w:rPr>
          <w:rFonts w:ascii="Times New Roman" w:hAnsi="Times New Roman" w:cs="Times New Roman"/>
          <w:kern w:val="24"/>
          <w:sz w:val="24"/>
          <w:szCs w:val="24"/>
        </w:rPr>
        <w:t xml:space="preserve">  </w:t>
      </w:r>
    </w:p>
    <w:p w:rsidR="00862132" w:rsidRDefault="006E372A"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The APEC approach is rooted in a set of Privacy Principles that all APEC member states have endorsed.</w:t>
      </w:r>
      <w:r>
        <w:rPr>
          <w:rStyle w:val="FootnoteReference"/>
          <w:rFonts w:ascii="Times New Roman" w:hAnsi="Times New Roman" w:cs="Times New Roman"/>
          <w:kern w:val="24"/>
          <w:sz w:val="24"/>
          <w:szCs w:val="24"/>
        </w:rPr>
        <w:footnoteReference w:id="111"/>
      </w:r>
      <w:r w:rsidR="00191888">
        <w:rPr>
          <w:rFonts w:ascii="Times New Roman" w:hAnsi="Times New Roman" w:cs="Times New Roman"/>
          <w:kern w:val="24"/>
          <w:sz w:val="24"/>
          <w:szCs w:val="24"/>
        </w:rPr>
        <w:t xml:space="preserve"> </w:t>
      </w:r>
      <w:r w:rsidR="00A11517">
        <w:rPr>
          <w:rFonts w:ascii="Times New Roman" w:hAnsi="Times New Roman" w:cs="Times New Roman"/>
          <w:kern w:val="24"/>
          <w:sz w:val="24"/>
          <w:szCs w:val="24"/>
        </w:rPr>
        <w:t xml:space="preserve">A participating company prepares a code of conduct or other set of </w:t>
      </w:r>
      <w:r w:rsidR="00DB6103">
        <w:rPr>
          <w:rFonts w:ascii="Times New Roman" w:hAnsi="Times New Roman" w:cs="Times New Roman"/>
          <w:kern w:val="24"/>
          <w:sz w:val="24"/>
          <w:szCs w:val="24"/>
        </w:rPr>
        <w:t xml:space="preserve">“cross-border privacy rules” </w:t>
      </w:r>
      <w:r w:rsidR="00A11517">
        <w:rPr>
          <w:rFonts w:ascii="Times New Roman" w:hAnsi="Times New Roman" w:cs="Times New Roman"/>
          <w:kern w:val="24"/>
          <w:sz w:val="24"/>
          <w:szCs w:val="24"/>
        </w:rPr>
        <w:t xml:space="preserve">that explains how the </w:t>
      </w:r>
      <w:r w:rsidR="00862132">
        <w:rPr>
          <w:rFonts w:ascii="Times New Roman" w:hAnsi="Times New Roman" w:cs="Times New Roman"/>
          <w:kern w:val="24"/>
          <w:sz w:val="24"/>
          <w:szCs w:val="24"/>
        </w:rPr>
        <w:t xml:space="preserve">APEC Privacy Principles </w:t>
      </w:r>
      <w:r w:rsidR="00A11517">
        <w:rPr>
          <w:rFonts w:ascii="Times New Roman" w:hAnsi="Times New Roman" w:cs="Times New Roman"/>
          <w:kern w:val="24"/>
          <w:sz w:val="24"/>
          <w:szCs w:val="24"/>
        </w:rPr>
        <w:t xml:space="preserve">apply </w:t>
      </w:r>
      <w:r w:rsidR="00862132">
        <w:rPr>
          <w:rFonts w:ascii="Times New Roman" w:hAnsi="Times New Roman" w:cs="Times New Roman"/>
          <w:kern w:val="24"/>
          <w:sz w:val="24"/>
          <w:szCs w:val="24"/>
        </w:rPr>
        <w:t xml:space="preserve">to </w:t>
      </w:r>
      <w:r w:rsidR="00617C80">
        <w:rPr>
          <w:rFonts w:ascii="Times New Roman" w:hAnsi="Times New Roman" w:cs="Times New Roman"/>
          <w:kern w:val="24"/>
          <w:sz w:val="24"/>
          <w:szCs w:val="24"/>
        </w:rPr>
        <w:t xml:space="preserve">its </w:t>
      </w:r>
      <w:r w:rsidR="00862132">
        <w:rPr>
          <w:rFonts w:ascii="Times New Roman" w:hAnsi="Times New Roman" w:cs="Times New Roman"/>
          <w:kern w:val="24"/>
          <w:sz w:val="24"/>
          <w:szCs w:val="24"/>
        </w:rPr>
        <w:t>specific operations.</w:t>
      </w:r>
      <w:r w:rsidR="00A11517">
        <w:rPr>
          <w:rFonts w:ascii="Times New Roman" w:hAnsi="Times New Roman" w:cs="Times New Roman"/>
          <w:kern w:val="24"/>
          <w:sz w:val="24"/>
          <w:szCs w:val="24"/>
        </w:rPr>
        <w:t xml:space="preserve"> </w:t>
      </w:r>
      <w:r w:rsidR="00617C80">
        <w:rPr>
          <w:rFonts w:ascii="Times New Roman" w:hAnsi="Times New Roman" w:cs="Times New Roman"/>
          <w:kern w:val="24"/>
          <w:sz w:val="24"/>
          <w:szCs w:val="24"/>
        </w:rPr>
        <w:t xml:space="preserve">It then submits </w:t>
      </w:r>
      <w:r w:rsidR="00862132">
        <w:rPr>
          <w:rFonts w:ascii="Times New Roman" w:hAnsi="Times New Roman" w:cs="Times New Roman"/>
          <w:kern w:val="24"/>
          <w:sz w:val="24"/>
          <w:szCs w:val="24"/>
        </w:rPr>
        <w:t>this code to an APEC</w:t>
      </w:r>
      <w:r w:rsidR="00A11517">
        <w:rPr>
          <w:rFonts w:ascii="Times New Roman" w:hAnsi="Times New Roman" w:cs="Times New Roman"/>
          <w:kern w:val="24"/>
          <w:sz w:val="24"/>
          <w:szCs w:val="24"/>
        </w:rPr>
        <w:t>-approved</w:t>
      </w:r>
      <w:r w:rsidR="00862132">
        <w:rPr>
          <w:rFonts w:ascii="Times New Roman" w:hAnsi="Times New Roman" w:cs="Times New Roman"/>
          <w:kern w:val="24"/>
          <w:sz w:val="24"/>
          <w:szCs w:val="24"/>
        </w:rPr>
        <w:t xml:space="preserve"> Accountability Agent.</w:t>
      </w:r>
      <w:r w:rsidR="00DB6103">
        <w:rPr>
          <w:rStyle w:val="FootnoteReference"/>
          <w:rFonts w:ascii="Times New Roman" w:hAnsi="Times New Roman" w:cs="Times New Roman"/>
          <w:kern w:val="24"/>
          <w:sz w:val="24"/>
          <w:szCs w:val="24"/>
        </w:rPr>
        <w:footnoteReference w:id="112"/>
      </w:r>
      <w:r w:rsidR="00A11517">
        <w:rPr>
          <w:rFonts w:ascii="Times New Roman" w:hAnsi="Times New Roman" w:cs="Times New Roman"/>
          <w:kern w:val="24"/>
          <w:sz w:val="24"/>
          <w:szCs w:val="24"/>
        </w:rPr>
        <w:t xml:space="preserve">  The Accountability Agent, which may be a government body or an independent third-party, reviews the code to ensure that it properly fulfills the APEC Privacy Principles.  If the Agent finds the code to be satisfactory, it approves it.</w:t>
      </w:r>
      <w:r w:rsidR="00DB6103">
        <w:rPr>
          <w:rStyle w:val="FootnoteReference"/>
          <w:rFonts w:ascii="Times New Roman" w:hAnsi="Times New Roman" w:cs="Times New Roman"/>
          <w:kern w:val="24"/>
          <w:sz w:val="24"/>
          <w:szCs w:val="24"/>
        </w:rPr>
        <w:footnoteReference w:id="113"/>
      </w:r>
    </w:p>
    <w:p w:rsidR="00DB6103" w:rsidRPr="00A11517" w:rsidRDefault="00A11517"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What exactly this approval means is not entirely </w:t>
      </w:r>
      <w:r w:rsidR="00862132">
        <w:rPr>
          <w:rFonts w:ascii="Times New Roman" w:hAnsi="Times New Roman" w:cs="Times New Roman"/>
          <w:kern w:val="24"/>
          <w:sz w:val="24"/>
          <w:szCs w:val="24"/>
        </w:rPr>
        <w:t>clear.</w:t>
      </w:r>
      <w:r>
        <w:rPr>
          <w:rFonts w:ascii="Times New Roman" w:hAnsi="Times New Roman" w:cs="Times New Roman"/>
          <w:kern w:val="24"/>
          <w:sz w:val="24"/>
          <w:szCs w:val="24"/>
        </w:rPr>
        <w:t xml:space="preserve"> </w:t>
      </w:r>
      <w:r w:rsidR="00862132">
        <w:rPr>
          <w:rFonts w:ascii="Times New Roman" w:hAnsi="Times New Roman" w:cs="Times New Roman"/>
          <w:kern w:val="24"/>
          <w:sz w:val="24"/>
          <w:szCs w:val="24"/>
        </w:rPr>
        <w:t xml:space="preserve">It does not </w:t>
      </w:r>
      <w:r w:rsidR="00616102">
        <w:rPr>
          <w:rFonts w:ascii="Times New Roman" w:hAnsi="Times New Roman" w:cs="Times New Roman"/>
          <w:kern w:val="24"/>
          <w:sz w:val="24"/>
          <w:szCs w:val="24"/>
        </w:rPr>
        <w:t xml:space="preserve">provide </w:t>
      </w:r>
      <w:r w:rsidR="002C3C3A">
        <w:rPr>
          <w:rFonts w:ascii="Times New Roman" w:hAnsi="Times New Roman" w:cs="Times New Roman"/>
          <w:kern w:val="24"/>
          <w:sz w:val="24"/>
          <w:szCs w:val="24"/>
        </w:rPr>
        <w:t>the company</w:t>
      </w:r>
      <w:r w:rsidR="0086687E">
        <w:rPr>
          <w:rFonts w:ascii="Times New Roman" w:hAnsi="Times New Roman" w:cs="Times New Roman"/>
          <w:kern w:val="24"/>
          <w:sz w:val="24"/>
          <w:szCs w:val="24"/>
        </w:rPr>
        <w:t xml:space="preserve"> </w:t>
      </w:r>
      <w:r w:rsidR="00616102">
        <w:rPr>
          <w:rFonts w:ascii="Times New Roman" w:hAnsi="Times New Roman" w:cs="Times New Roman"/>
          <w:kern w:val="24"/>
          <w:sz w:val="24"/>
          <w:szCs w:val="24"/>
        </w:rPr>
        <w:t xml:space="preserve">with a safe harbor with respect to national laws. </w:t>
      </w:r>
      <w:r w:rsidR="00DB6103">
        <w:rPr>
          <w:rFonts w:ascii="Times New Roman" w:hAnsi="Times New Roman" w:cs="Times New Roman"/>
          <w:kern w:val="24"/>
          <w:sz w:val="24"/>
          <w:szCs w:val="24"/>
        </w:rPr>
        <w:t xml:space="preserve"> </w:t>
      </w:r>
      <w:r w:rsidR="0086687E">
        <w:rPr>
          <w:rFonts w:ascii="Times New Roman" w:hAnsi="Times New Roman" w:cs="Times New Roman"/>
          <w:kern w:val="24"/>
          <w:sz w:val="24"/>
          <w:szCs w:val="24"/>
        </w:rPr>
        <w:t>E</w:t>
      </w:r>
      <w:r w:rsidR="00844BD2">
        <w:rPr>
          <w:rFonts w:ascii="Times New Roman" w:hAnsi="Times New Roman" w:cs="Times New Roman"/>
          <w:kern w:val="24"/>
          <w:sz w:val="24"/>
          <w:szCs w:val="24"/>
        </w:rPr>
        <w:t xml:space="preserve">ven those companies with approved codes are still subject to the privacy laws of the </w:t>
      </w:r>
      <w:r w:rsidR="00616102">
        <w:rPr>
          <w:rFonts w:ascii="Times New Roman" w:hAnsi="Times New Roman" w:cs="Times New Roman"/>
          <w:kern w:val="24"/>
          <w:sz w:val="24"/>
          <w:szCs w:val="24"/>
        </w:rPr>
        <w:t xml:space="preserve">individual </w:t>
      </w:r>
      <w:r w:rsidR="00844BD2">
        <w:rPr>
          <w:rFonts w:ascii="Times New Roman" w:hAnsi="Times New Roman" w:cs="Times New Roman"/>
          <w:kern w:val="24"/>
          <w:sz w:val="24"/>
          <w:szCs w:val="24"/>
        </w:rPr>
        <w:t>APEC nations.</w:t>
      </w:r>
      <w:r w:rsidR="00DB6103">
        <w:rPr>
          <w:rStyle w:val="FootnoteReference"/>
          <w:rFonts w:ascii="Times New Roman" w:hAnsi="Times New Roman" w:cs="Times New Roman"/>
          <w:kern w:val="24"/>
          <w:sz w:val="24"/>
          <w:szCs w:val="24"/>
        </w:rPr>
        <w:footnoteReference w:id="114"/>
      </w:r>
      <w:r w:rsidR="00DB6103">
        <w:rPr>
          <w:rFonts w:ascii="Times New Roman" w:hAnsi="Times New Roman" w:cs="Times New Roman"/>
          <w:kern w:val="24"/>
          <w:sz w:val="24"/>
          <w:szCs w:val="24"/>
        </w:rPr>
        <w:t xml:space="preserve"> </w:t>
      </w:r>
      <w:r w:rsidR="00D24A7F">
        <w:rPr>
          <w:rFonts w:ascii="Times New Roman" w:hAnsi="Times New Roman" w:cs="Times New Roman"/>
          <w:kern w:val="24"/>
          <w:sz w:val="24"/>
          <w:szCs w:val="24"/>
        </w:rPr>
        <w:t>That</w:t>
      </w:r>
      <w:r w:rsidR="002C3C3A">
        <w:rPr>
          <w:rFonts w:ascii="Times New Roman" w:hAnsi="Times New Roman" w:cs="Times New Roman"/>
          <w:kern w:val="24"/>
          <w:sz w:val="24"/>
          <w:szCs w:val="24"/>
        </w:rPr>
        <w:t xml:space="preserve"> said</w:t>
      </w:r>
      <w:proofErr w:type="gramStart"/>
      <w:r w:rsidR="002C3C3A">
        <w:rPr>
          <w:rFonts w:ascii="Times New Roman" w:hAnsi="Times New Roman" w:cs="Times New Roman"/>
          <w:kern w:val="24"/>
          <w:sz w:val="24"/>
          <w:szCs w:val="24"/>
        </w:rPr>
        <w:t>,</w:t>
      </w:r>
      <w:proofErr w:type="gramEnd"/>
      <w:r w:rsidR="00D24A7F">
        <w:rPr>
          <w:rFonts w:ascii="Times New Roman" w:hAnsi="Times New Roman" w:cs="Times New Roman"/>
          <w:kern w:val="24"/>
          <w:sz w:val="24"/>
          <w:szCs w:val="24"/>
        </w:rPr>
        <w:t xml:space="preserve"> companies that follow an APEC-approved code of conduct </w:t>
      </w:r>
      <w:r w:rsidR="00616102">
        <w:rPr>
          <w:rFonts w:ascii="Times New Roman" w:hAnsi="Times New Roman" w:cs="Times New Roman"/>
          <w:kern w:val="24"/>
          <w:sz w:val="24"/>
          <w:szCs w:val="24"/>
        </w:rPr>
        <w:t>can</w:t>
      </w:r>
      <w:r w:rsidR="00D24A7F">
        <w:rPr>
          <w:rFonts w:ascii="Times New Roman" w:hAnsi="Times New Roman" w:cs="Times New Roman"/>
          <w:kern w:val="24"/>
          <w:sz w:val="24"/>
          <w:szCs w:val="24"/>
        </w:rPr>
        <w:t xml:space="preserve"> </w:t>
      </w:r>
      <w:r w:rsidR="00D76CFD">
        <w:rPr>
          <w:rFonts w:ascii="Times New Roman" w:hAnsi="Times New Roman" w:cs="Times New Roman"/>
          <w:kern w:val="24"/>
          <w:sz w:val="24"/>
          <w:szCs w:val="24"/>
        </w:rPr>
        <w:t xml:space="preserve">feel more comfortable than they otherwise would </w:t>
      </w:r>
      <w:r w:rsidR="00D76CFD">
        <w:rPr>
          <w:rFonts w:ascii="Times New Roman" w:hAnsi="Times New Roman" w:cs="Times New Roman"/>
          <w:kern w:val="24"/>
          <w:sz w:val="24"/>
          <w:szCs w:val="24"/>
        </w:rPr>
        <w:lastRenderedPageBreak/>
        <w:t>that their behavior complies with the laws of APEC member states or that, even if it turns out that they do not, these countries will not enforce their laws as harshly as they otherwise would.</w:t>
      </w:r>
      <w:r w:rsidR="00DB6103">
        <w:rPr>
          <w:rFonts w:ascii="Times New Roman" w:hAnsi="Times New Roman" w:cs="Times New Roman"/>
          <w:kern w:val="24"/>
          <w:sz w:val="24"/>
          <w:szCs w:val="24"/>
        </w:rPr>
        <w:t xml:space="preserve"> Thus, </w:t>
      </w:r>
      <w:r w:rsidR="00D76CFD">
        <w:rPr>
          <w:rFonts w:ascii="Times New Roman" w:hAnsi="Times New Roman" w:cs="Times New Roman"/>
          <w:kern w:val="24"/>
          <w:sz w:val="24"/>
          <w:szCs w:val="24"/>
        </w:rPr>
        <w:t xml:space="preserve">APEC privacy codes provide some comfort to firms that engage in </w:t>
      </w:r>
      <w:r w:rsidR="00DB6103">
        <w:rPr>
          <w:rFonts w:ascii="Times New Roman" w:hAnsi="Times New Roman" w:cs="Times New Roman"/>
          <w:kern w:val="24"/>
          <w:sz w:val="24"/>
          <w:szCs w:val="24"/>
        </w:rPr>
        <w:t xml:space="preserve">cross-border </w:t>
      </w:r>
      <w:r w:rsidR="00D76CFD">
        <w:rPr>
          <w:rFonts w:ascii="Times New Roman" w:hAnsi="Times New Roman" w:cs="Times New Roman"/>
          <w:kern w:val="24"/>
          <w:sz w:val="24"/>
          <w:szCs w:val="24"/>
        </w:rPr>
        <w:t>transfers</w:t>
      </w:r>
      <w:r w:rsidR="00DB6103">
        <w:rPr>
          <w:rFonts w:ascii="Times New Roman" w:hAnsi="Times New Roman" w:cs="Times New Roman"/>
          <w:kern w:val="24"/>
          <w:sz w:val="24"/>
          <w:szCs w:val="24"/>
        </w:rPr>
        <w:t xml:space="preserve"> among APEC states</w:t>
      </w:r>
      <w:r w:rsidR="00D76CFD">
        <w:rPr>
          <w:rFonts w:ascii="Times New Roman" w:hAnsi="Times New Roman" w:cs="Times New Roman"/>
          <w:kern w:val="24"/>
          <w:sz w:val="24"/>
          <w:szCs w:val="24"/>
        </w:rPr>
        <w:t>.</w:t>
      </w:r>
      <w:r w:rsidR="00DB6103">
        <w:rPr>
          <w:rFonts w:ascii="Times New Roman" w:hAnsi="Times New Roman" w:cs="Times New Roman"/>
          <w:kern w:val="24"/>
          <w:sz w:val="24"/>
          <w:szCs w:val="24"/>
        </w:rPr>
        <w:t xml:space="preserve"> </w:t>
      </w:r>
      <w:r w:rsidR="00D76CFD">
        <w:rPr>
          <w:rFonts w:ascii="Times New Roman" w:hAnsi="Times New Roman" w:cs="Times New Roman"/>
          <w:kern w:val="24"/>
          <w:sz w:val="24"/>
          <w:szCs w:val="24"/>
        </w:rPr>
        <w:t xml:space="preserve">It remains to be seen whether this is sufficient incentive </w:t>
      </w:r>
      <w:r w:rsidR="00616102">
        <w:rPr>
          <w:rFonts w:ascii="Times New Roman" w:hAnsi="Times New Roman" w:cs="Times New Roman"/>
          <w:kern w:val="24"/>
          <w:sz w:val="24"/>
          <w:szCs w:val="24"/>
        </w:rPr>
        <w:t xml:space="preserve">to encourage companies to develop an </w:t>
      </w:r>
      <w:r w:rsidR="00D76CFD">
        <w:rPr>
          <w:rFonts w:ascii="Times New Roman" w:hAnsi="Times New Roman" w:cs="Times New Roman"/>
          <w:kern w:val="24"/>
          <w:sz w:val="24"/>
          <w:szCs w:val="24"/>
        </w:rPr>
        <w:t>APEC privacy code</w:t>
      </w:r>
      <w:r w:rsidR="00616102">
        <w:rPr>
          <w:rFonts w:ascii="Times New Roman" w:hAnsi="Times New Roman" w:cs="Times New Roman"/>
          <w:kern w:val="24"/>
          <w:sz w:val="24"/>
          <w:szCs w:val="24"/>
        </w:rPr>
        <w:t>, and whether such a system truly will facilitate cross-border data transfer</w:t>
      </w:r>
      <w:r w:rsidR="00DB6103">
        <w:rPr>
          <w:rFonts w:ascii="Times New Roman" w:hAnsi="Times New Roman" w:cs="Times New Roman"/>
          <w:kern w:val="24"/>
          <w:sz w:val="24"/>
          <w:szCs w:val="24"/>
        </w:rPr>
        <w:t>s.</w:t>
      </w:r>
    </w:p>
    <w:p w:rsidR="00A11517" w:rsidRDefault="00A11517" w:rsidP="001610E3">
      <w:pPr>
        <w:autoSpaceDE w:val="0"/>
        <w:autoSpaceDN w:val="0"/>
        <w:adjustRightInd w:val="0"/>
        <w:spacing w:after="0" w:line="480" w:lineRule="auto"/>
        <w:rPr>
          <w:rFonts w:ascii="Times New Roman" w:hAnsi="Times New Roman" w:cs="Times New Roman"/>
          <w:kern w:val="24"/>
          <w:sz w:val="24"/>
          <w:szCs w:val="24"/>
        </w:rPr>
      </w:pPr>
    </w:p>
    <w:p w:rsidR="0086687E" w:rsidRDefault="00DB6103" w:rsidP="0078420B">
      <w:pPr>
        <w:autoSpaceDE w:val="0"/>
        <w:autoSpaceDN w:val="0"/>
        <w:adjustRightInd w:val="0"/>
        <w:spacing w:after="0" w:line="480" w:lineRule="auto"/>
        <w:ind w:left="720"/>
        <w:rPr>
          <w:rFonts w:ascii="Times New Roman" w:hAnsi="Times New Roman" w:cs="Times New Roman"/>
          <w:kern w:val="24"/>
          <w:sz w:val="24"/>
          <w:szCs w:val="24"/>
        </w:rPr>
      </w:pPr>
      <w:r>
        <w:rPr>
          <w:rFonts w:ascii="Times New Roman" w:hAnsi="Times New Roman" w:cs="Times New Roman"/>
          <w:kern w:val="24"/>
          <w:sz w:val="24"/>
          <w:szCs w:val="24"/>
        </w:rPr>
        <w:t xml:space="preserve">C.  </w:t>
      </w:r>
      <w:r w:rsidRPr="0086687E">
        <w:rPr>
          <w:rFonts w:ascii="Times New Roman" w:hAnsi="Times New Roman" w:cs="Times New Roman"/>
          <w:kern w:val="24"/>
          <w:sz w:val="24"/>
          <w:szCs w:val="24"/>
          <w:u w:val="single"/>
        </w:rPr>
        <w:t xml:space="preserve">The </w:t>
      </w:r>
      <w:r w:rsidR="001C6D99">
        <w:rPr>
          <w:rFonts w:ascii="Times New Roman" w:hAnsi="Times New Roman" w:cs="Times New Roman"/>
          <w:kern w:val="24"/>
          <w:sz w:val="24"/>
          <w:szCs w:val="24"/>
          <w:u w:val="single"/>
        </w:rPr>
        <w:t>US</w:t>
      </w:r>
      <w:r w:rsidR="001510D5" w:rsidRPr="0086687E">
        <w:rPr>
          <w:rFonts w:ascii="Times New Roman" w:hAnsi="Times New Roman" w:cs="Times New Roman"/>
          <w:kern w:val="24"/>
          <w:sz w:val="24"/>
          <w:szCs w:val="24"/>
          <w:u w:val="single"/>
        </w:rPr>
        <w:t>-</w:t>
      </w:r>
      <w:r w:rsidR="001C6D99">
        <w:rPr>
          <w:rFonts w:ascii="Times New Roman" w:hAnsi="Times New Roman" w:cs="Times New Roman"/>
          <w:kern w:val="24"/>
          <w:sz w:val="24"/>
          <w:szCs w:val="24"/>
          <w:u w:val="single"/>
        </w:rPr>
        <w:t xml:space="preserve">E.U. </w:t>
      </w:r>
      <w:r w:rsidR="001510D5" w:rsidRPr="0086687E">
        <w:rPr>
          <w:rFonts w:ascii="Times New Roman" w:hAnsi="Times New Roman" w:cs="Times New Roman"/>
          <w:kern w:val="24"/>
          <w:sz w:val="24"/>
          <w:szCs w:val="24"/>
          <w:u w:val="single"/>
        </w:rPr>
        <w:t>Safe Harbor Agreement</w:t>
      </w:r>
    </w:p>
    <w:p w:rsidR="0086687E" w:rsidRDefault="006A24BD"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w:t>
      </w:r>
      <w:r w:rsidR="001C6D99">
        <w:rPr>
          <w:rFonts w:ascii="Times New Roman" w:hAnsi="Times New Roman" w:cs="Times New Roman"/>
          <w:kern w:val="24"/>
          <w:sz w:val="24"/>
          <w:szCs w:val="24"/>
        </w:rPr>
        <w:t>US</w:t>
      </w:r>
      <w:r>
        <w:rPr>
          <w:rFonts w:ascii="Times New Roman" w:hAnsi="Times New Roman" w:cs="Times New Roman"/>
          <w:kern w:val="24"/>
          <w:sz w:val="24"/>
          <w:szCs w:val="24"/>
        </w:rPr>
        <w:t>-</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Safe Harbor Ag</w:t>
      </w:r>
      <w:r w:rsidR="00B86820">
        <w:rPr>
          <w:rFonts w:ascii="Times New Roman" w:hAnsi="Times New Roman" w:cs="Times New Roman"/>
          <w:kern w:val="24"/>
          <w:sz w:val="24"/>
          <w:szCs w:val="24"/>
        </w:rPr>
        <w:t xml:space="preserve">reement, too, </w:t>
      </w:r>
      <w:r>
        <w:rPr>
          <w:rFonts w:ascii="Times New Roman" w:hAnsi="Times New Roman" w:cs="Times New Roman"/>
          <w:kern w:val="24"/>
          <w:sz w:val="24"/>
          <w:szCs w:val="24"/>
        </w:rPr>
        <w:t>use</w:t>
      </w:r>
      <w:r w:rsidR="00B86820">
        <w:rPr>
          <w:rFonts w:ascii="Times New Roman" w:hAnsi="Times New Roman" w:cs="Times New Roman"/>
          <w:kern w:val="24"/>
          <w:sz w:val="24"/>
          <w:szCs w:val="24"/>
        </w:rPr>
        <w:t>s</w:t>
      </w:r>
      <w:r>
        <w:rPr>
          <w:rFonts w:ascii="Times New Roman" w:hAnsi="Times New Roman" w:cs="Times New Roman"/>
          <w:kern w:val="24"/>
          <w:sz w:val="24"/>
          <w:szCs w:val="24"/>
        </w:rPr>
        <w:t xml:space="preserve"> company codes of conduct to address the cross-border data transfer issue.</w:t>
      </w:r>
      <w:r w:rsidR="0086687E">
        <w:rPr>
          <w:rFonts w:ascii="Times New Roman" w:hAnsi="Times New Roman" w:cs="Times New Roman"/>
          <w:kern w:val="24"/>
          <w:sz w:val="24"/>
          <w:szCs w:val="24"/>
        </w:rPr>
        <w:t xml:space="preserve"> </w:t>
      </w:r>
      <w:r>
        <w:rPr>
          <w:rFonts w:ascii="Times New Roman" w:hAnsi="Times New Roman" w:cs="Times New Roman"/>
          <w:kern w:val="24"/>
          <w:sz w:val="24"/>
          <w:szCs w:val="24"/>
        </w:rPr>
        <w:t>The U.S.</w:t>
      </w:r>
      <w:r w:rsidR="007E1D76">
        <w:rPr>
          <w:rFonts w:ascii="Times New Roman" w:hAnsi="Times New Roman" w:cs="Times New Roman"/>
          <w:kern w:val="24"/>
          <w:sz w:val="24"/>
          <w:szCs w:val="24"/>
        </w:rPr>
        <w:t xml:space="preserve"> Department of Commerce</w:t>
      </w:r>
      <w:r>
        <w:rPr>
          <w:rFonts w:ascii="Times New Roman" w:hAnsi="Times New Roman" w:cs="Times New Roman"/>
          <w:kern w:val="24"/>
          <w:sz w:val="24"/>
          <w:szCs w:val="24"/>
        </w:rPr>
        <w:t xml:space="preserve"> and the </w:t>
      </w:r>
      <w:r w:rsidR="007E1D76">
        <w:rPr>
          <w:rFonts w:ascii="Times New Roman" w:hAnsi="Times New Roman" w:cs="Times New Roman"/>
          <w:kern w:val="24"/>
          <w:sz w:val="24"/>
          <w:szCs w:val="24"/>
        </w:rPr>
        <w:t xml:space="preserve">European Commission </w:t>
      </w:r>
      <w:r>
        <w:rPr>
          <w:rFonts w:ascii="Times New Roman" w:hAnsi="Times New Roman" w:cs="Times New Roman"/>
          <w:kern w:val="24"/>
          <w:sz w:val="24"/>
          <w:szCs w:val="24"/>
        </w:rPr>
        <w:t xml:space="preserve">developed the Safe Harbor Agreement to respond </w:t>
      </w:r>
      <w:r w:rsidR="008866D7">
        <w:rPr>
          <w:rFonts w:ascii="Times New Roman" w:hAnsi="Times New Roman" w:cs="Times New Roman"/>
          <w:kern w:val="24"/>
          <w:sz w:val="24"/>
          <w:szCs w:val="24"/>
        </w:rPr>
        <w:t>to the 1995 Directive’s “adequacy” requirement which, once U.S. laws were deemed to be “inadequate,” promised to disrupt vital data transfers between to two trading partners</w:t>
      </w:r>
      <w:r w:rsidR="00CF3034">
        <w:rPr>
          <w:rFonts w:ascii="Times New Roman" w:hAnsi="Times New Roman" w:cs="Times New Roman"/>
          <w:kern w:val="24"/>
          <w:sz w:val="24"/>
          <w:szCs w:val="24"/>
        </w:rPr>
        <w:t>.</w:t>
      </w:r>
      <w:r w:rsidR="00CF3034">
        <w:rPr>
          <w:rStyle w:val="FootnoteReference"/>
          <w:rFonts w:ascii="Times New Roman" w:hAnsi="Times New Roman" w:cs="Times New Roman"/>
          <w:kern w:val="24"/>
          <w:sz w:val="24"/>
          <w:szCs w:val="24"/>
        </w:rPr>
        <w:footnoteReference w:id="115"/>
      </w:r>
      <w:r w:rsidR="0086687E">
        <w:rPr>
          <w:rFonts w:ascii="Times New Roman" w:hAnsi="Times New Roman" w:cs="Times New Roman"/>
          <w:kern w:val="24"/>
          <w:sz w:val="24"/>
          <w:szCs w:val="24"/>
        </w:rPr>
        <w:t xml:space="preserve"> </w:t>
      </w:r>
      <w:r w:rsidR="008866D7">
        <w:rPr>
          <w:rFonts w:ascii="Times New Roman" w:hAnsi="Times New Roman" w:cs="Times New Roman"/>
          <w:kern w:val="24"/>
          <w:sz w:val="24"/>
          <w:szCs w:val="24"/>
        </w:rPr>
        <w:t>T</w:t>
      </w:r>
      <w:r w:rsidR="00CF3034">
        <w:rPr>
          <w:rFonts w:ascii="Times New Roman" w:hAnsi="Times New Roman" w:cs="Times New Roman"/>
          <w:kern w:val="24"/>
          <w:sz w:val="24"/>
          <w:szCs w:val="24"/>
        </w:rPr>
        <w:t xml:space="preserve">he Safe Harbor Agreement </w:t>
      </w:r>
      <w:r w:rsidR="008866D7">
        <w:rPr>
          <w:rFonts w:ascii="Times New Roman" w:hAnsi="Times New Roman" w:cs="Times New Roman"/>
          <w:kern w:val="24"/>
          <w:sz w:val="24"/>
          <w:szCs w:val="24"/>
        </w:rPr>
        <w:t xml:space="preserve">seeks to address </w:t>
      </w:r>
      <w:r w:rsidR="00325785">
        <w:rPr>
          <w:rFonts w:ascii="Times New Roman" w:hAnsi="Times New Roman" w:cs="Times New Roman"/>
          <w:kern w:val="24"/>
          <w:sz w:val="24"/>
          <w:szCs w:val="24"/>
        </w:rPr>
        <w:t>this problem</w:t>
      </w:r>
      <w:r w:rsidR="008866D7">
        <w:rPr>
          <w:rFonts w:ascii="Times New Roman" w:hAnsi="Times New Roman" w:cs="Times New Roman"/>
          <w:kern w:val="24"/>
          <w:sz w:val="24"/>
          <w:szCs w:val="24"/>
        </w:rPr>
        <w:t xml:space="preserve"> and facilitate cross-border data flows between the </w:t>
      </w:r>
      <w:r w:rsidR="001C6D99">
        <w:rPr>
          <w:rFonts w:ascii="Times New Roman" w:hAnsi="Times New Roman" w:cs="Times New Roman"/>
          <w:kern w:val="24"/>
          <w:sz w:val="24"/>
          <w:szCs w:val="24"/>
        </w:rPr>
        <w:t xml:space="preserve">E.U. </w:t>
      </w:r>
      <w:r w:rsidR="008866D7">
        <w:rPr>
          <w:rFonts w:ascii="Times New Roman" w:hAnsi="Times New Roman" w:cs="Times New Roman"/>
          <w:kern w:val="24"/>
          <w:sz w:val="24"/>
          <w:szCs w:val="24"/>
        </w:rPr>
        <w:t>and the U.S</w:t>
      </w:r>
      <w:r w:rsidR="00CF3034">
        <w:rPr>
          <w:rFonts w:ascii="Times New Roman" w:hAnsi="Times New Roman" w:cs="Times New Roman"/>
          <w:kern w:val="24"/>
          <w:sz w:val="24"/>
          <w:szCs w:val="24"/>
        </w:rPr>
        <w:t>.</w:t>
      </w:r>
      <w:r w:rsidR="007E1D76">
        <w:rPr>
          <w:rStyle w:val="FootnoteReference"/>
          <w:rFonts w:ascii="Times New Roman" w:hAnsi="Times New Roman" w:cs="Times New Roman"/>
          <w:kern w:val="24"/>
          <w:sz w:val="24"/>
          <w:szCs w:val="24"/>
        </w:rPr>
        <w:footnoteReference w:id="116"/>
      </w:r>
    </w:p>
    <w:p w:rsidR="0086687E" w:rsidRDefault="0091175B"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The Agreement defines a set of princ</w:t>
      </w:r>
      <w:r w:rsidR="000972C2">
        <w:rPr>
          <w:rFonts w:ascii="Times New Roman" w:hAnsi="Times New Roman" w:cs="Times New Roman"/>
          <w:kern w:val="24"/>
          <w:sz w:val="24"/>
          <w:szCs w:val="24"/>
        </w:rPr>
        <w:t>iples—the Safe Harbor Privacy Principles</w:t>
      </w:r>
      <w:r>
        <w:rPr>
          <w:rFonts w:ascii="Times New Roman" w:hAnsi="Times New Roman" w:cs="Times New Roman"/>
          <w:kern w:val="24"/>
          <w:sz w:val="24"/>
          <w:szCs w:val="24"/>
        </w:rPr>
        <w:t xml:space="preserve">—that both </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 xml:space="preserve">and U.S. officials agree approximate the requirements of </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data protection law.</w:t>
      </w:r>
      <w:r w:rsidR="000972C2">
        <w:rPr>
          <w:rStyle w:val="FootnoteReference"/>
          <w:rFonts w:ascii="Times New Roman" w:hAnsi="Times New Roman" w:cs="Times New Roman"/>
          <w:kern w:val="24"/>
          <w:sz w:val="24"/>
          <w:szCs w:val="24"/>
        </w:rPr>
        <w:footnoteReference w:id="117"/>
      </w:r>
      <w:r w:rsidR="00CF3034">
        <w:rPr>
          <w:rFonts w:ascii="Times New Roman" w:hAnsi="Times New Roman" w:cs="Times New Roman"/>
          <w:kern w:val="24"/>
          <w:sz w:val="24"/>
          <w:szCs w:val="24"/>
        </w:rPr>
        <w:t xml:space="preserve"> </w:t>
      </w:r>
      <w:r w:rsidR="003418EA">
        <w:rPr>
          <w:rFonts w:ascii="Times New Roman" w:hAnsi="Times New Roman" w:cs="Times New Roman"/>
          <w:kern w:val="24"/>
          <w:sz w:val="24"/>
          <w:szCs w:val="24"/>
        </w:rPr>
        <w:t xml:space="preserve">A company can then </w:t>
      </w:r>
      <w:r w:rsidR="00632E3D">
        <w:rPr>
          <w:rFonts w:ascii="Times New Roman" w:hAnsi="Times New Roman" w:cs="Times New Roman"/>
          <w:kern w:val="24"/>
          <w:sz w:val="24"/>
          <w:szCs w:val="24"/>
        </w:rPr>
        <w:t xml:space="preserve">develop </w:t>
      </w:r>
      <w:r w:rsidR="003418EA">
        <w:rPr>
          <w:rFonts w:ascii="Times New Roman" w:hAnsi="Times New Roman" w:cs="Times New Roman"/>
          <w:kern w:val="24"/>
          <w:sz w:val="24"/>
          <w:szCs w:val="24"/>
        </w:rPr>
        <w:t xml:space="preserve">its </w:t>
      </w:r>
      <w:r w:rsidR="00632E3D">
        <w:rPr>
          <w:rFonts w:ascii="Times New Roman" w:hAnsi="Times New Roman" w:cs="Times New Roman"/>
          <w:kern w:val="24"/>
          <w:sz w:val="24"/>
          <w:szCs w:val="24"/>
        </w:rPr>
        <w:t>own set</w:t>
      </w:r>
      <w:r w:rsidR="004823D2">
        <w:rPr>
          <w:rFonts w:ascii="Times New Roman" w:hAnsi="Times New Roman" w:cs="Times New Roman"/>
          <w:kern w:val="24"/>
          <w:sz w:val="24"/>
          <w:szCs w:val="24"/>
        </w:rPr>
        <w:t xml:space="preserve"> of </w:t>
      </w:r>
      <w:r w:rsidR="003418EA">
        <w:rPr>
          <w:rFonts w:ascii="Times New Roman" w:hAnsi="Times New Roman" w:cs="Times New Roman"/>
          <w:kern w:val="24"/>
          <w:sz w:val="24"/>
          <w:szCs w:val="24"/>
        </w:rPr>
        <w:t xml:space="preserve">privacy and data governance practices—essentially, a </w:t>
      </w:r>
      <w:r w:rsidR="004823D2">
        <w:rPr>
          <w:rFonts w:ascii="Times New Roman" w:hAnsi="Times New Roman" w:cs="Times New Roman"/>
          <w:kern w:val="24"/>
          <w:sz w:val="24"/>
          <w:szCs w:val="24"/>
        </w:rPr>
        <w:t xml:space="preserve">code of conduct—that </w:t>
      </w:r>
      <w:r w:rsidR="000972C2">
        <w:rPr>
          <w:rFonts w:ascii="Times New Roman" w:hAnsi="Times New Roman" w:cs="Times New Roman"/>
          <w:kern w:val="24"/>
          <w:sz w:val="24"/>
          <w:szCs w:val="24"/>
        </w:rPr>
        <w:t xml:space="preserve">translates the </w:t>
      </w:r>
      <w:r w:rsidR="004823D2">
        <w:rPr>
          <w:rFonts w:ascii="Times New Roman" w:hAnsi="Times New Roman" w:cs="Times New Roman"/>
          <w:kern w:val="24"/>
          <w:sz w:val="24"/>
          <w:szCs w:val="24"/>
        </w:rPr>
        <w:t>Safe Harbor Principles</w:t>
      </w:r>
      <w:r w:rsidR="000972C2">
        <w:rPr>
          <w:rFonts w:ascii="Times New Roman" w:hAnsi="Times New Roman" w:cs="Times New Roman"/>
          <w:kern w:val="24"/>
          <w:sz w:val="24"/>
          <w:szCs w:val="24"/>
        </w:rPr>
        <w:t xml:space="preserve"> and explains </w:t>
      </w:r>
      <w:r w:rsidR="003418EA">
        <w:rPr>
          <w:rFonts w:ascii="Times New Roman" w:hAnsi="Times New Roman" w:cs="Times New Roman"/>
          <w:kern w:val="24"/>
          <w:sz w:val="24"/>
          <w:szCs w:val="24"/>
        </w:rPr>
        <w:t xml:space="preserve">how the company will </w:t>
      </w:r>
      <w:r w:rsidR="000972C2">
        <w:rPr>
          <w:rFonts w:ascii="Times New Roman" w:hAnsi="Times New Roman" w:cs="Times New Roman"/>
          <w:kern w:val="24"/>
          <w:sz w:val="24"/>
          <w:szCs w:val="24"/>
        </w:rPr>
        <w:t>comply with them</w:t>
      </w:r>
      <w:r w:rsidR="00B54B29">
        <w:rPr>
          <w:rFonts w:ascii="Times New Roman" w:hAnsi="Times New Roman" w:cs="Times New Roman"/>
          <w:kern w:val="24"/>
          <w:sz w:val="24"/>
          <w:szCs w:val="24"/>
        </w:rPr>
        <w:t xml:space="preserve">.  Alternatively, it can join a “self-regulatory privacy program” that has </w:t>
      </w:r>
      <w:r w:rsidR="00EF08AA">
        <w:rPr>
          <w:rFonts w:ascii="Times New Roman" w:hAnsi="Times New Roman" w:cs="Times New Roman"/>
          <w:kern w:val="24"/>
          <w:sz w:val="24"/>
          <w:szCs w:val="24"/>
        </w:rPr>
        <w:t xml:space="preserve">an </w:t>
      </w:r>
      <w:r w:rsidR="00B54B29">
        <w:rPr>
          <w:rFonts w:ascii="Times New Roman" w:hAnsi="Times New Roman" w:cs="Times New Roman"/>
          <w:kern w:val="24"/>
          <w:sz w:val="24"/>
          <w:szCs w:val="24"/>
        </w:rPr>
        <w:t xml:space="preserve">established set of </w:t>
      </w:r>
      <w:r w:rsidR="00EF08AA">
        <w:rPr>
          <w:rFonts w:ascii="Times New Roman" w:hAnsi="Times New Roman" w:cs="Times New Roman"/>
          <w:kern w:val="24"/>
          <w:sz w:val="24"/>
          <w:szCs w:val="24"/>
        </w:rPr>
        <w:t xml:space="preserve">such </w:t>
      </w:r>
      <w:r w:rsidR="00B54B29">
        <w:rPr>
          <w:rFonts w:ascii="Times New Roman" w:hAnsi="Times New Roman" w:cs="Times New Roman"/>
          <w:kern w:val="24"/>
          <w:sz w:val="24"/>
          <w:szCs w:val="24"/>
        </w:rPr>
        <w:t>practices, and commit to following them.</w:t>
      </w:r>
      <w:r w:rsidR="00B54B29">
        <w:rPr>
          <w:rStyle w:val="FootnoteReference"/>
          <w:rFonts w:ascii="Times New Roman" w:hAnsi="Times New Roman" w:cs="Times New Roman"/>
          <w:kern w:val="24"/>
          <w:sz w:val="24"/>
          <w:szCs w:val="24"/>
        </w:rPr>
        <w:footnoteReference w:id="118"/>
      </w:r>
      <w:r w:rsidR="00B54B29">
        <w:rPr>
          <w:rFonts w:ascii="Times New Roman" w:hAnsi="Times New Roman" w:cs="Times New Roman"/>
          <w:kern w:val="24"/>
          <w:sz w:val="24"/>
          <w:szCs w:val="24"/>
        </w:rPr>
        <w:t xml:space="preserve">  </w:t>
      </w:r>
      <w:r w:rsidR="006C2DF9">
        <w:rPr>
          <w:rFonts w:ascii="Times New Roman" w:hAnsi="Times New Roman" w:cs="Times New Roman"/>
          <w:kern w:val="24"/>
          <w:sz w:val="24"/>
          <w:szCs w:val="24"/>
        </w:rPr>
        <w:t>Individual companies self-</w:t>
      </w:r>
      <w:r w:rsidR="006C2DF9">
        <w:rPr>
          <w:rFonts w:ascii="Times New Roman" w:hAnsi="Times New Roman" w:cs="Times New Roman"/>
          <w:kern w:val="24"/>
          <w:sz w:val="24"/>
          <w:szCs w:val="24"/>
        </w:rPr>
        <w:lastRenderedPageBreak/>
        <w:t xml:space="preserve">certify to the Department of Commerce, and in their own posted privacy policy, that they are following </w:t>
      </w:r>
      <w:r w:rsidR="000972C2">
        <w:rPr>
          <w:rFonts w:ascii="Times New Roman" w:hAnsi="Times New Roman" w:cs="Times New Roman"/>
          <w:kern w:val="24"/>
          <w:sz w:val="24"/>
          <w:szCs w:val="24"/>
        </w:rPr>
        <w:t xml:space="preserve">such a </w:t>
      </w:r>
      <w:r w:rsidR="006C2DF9">
        <w:rPr>
          <w:rFonts w:ascii="Times New Roman" w:hAnsi="Times New Roman" w:cs="Times New Roman"/>
          <w:kern w:val="24"/>
          <w:sz w:val="24"/>
          <w:szCs w:val="24"/>
        </w:rPr>
        <w:t>code and are in compliance with the Safe Harbor Principles.</w:t>
      </w:r>
      <w:r w:rsidR="000972C2">
        <w:rPr>
          <w:rStyle w:val="FootnoteReference"/>
          <w:rFonts w:ascii="Times New Roman" w:hAnsi="Times New Roman" w:cs="Times New Roman"/>
          <w:kern w:val="24"/>
          <w:sz w:val="24"/>
          <w:szCs w:val="24"/>
        </w:rPr>
        <w:footnoteReference w:id="119"/>
      </w:r>
      <w:r w:rsidR="006C2DF9">
        <w:rPr>
          <w:rFonts w:ascii="Times New Roman" w:hAnsi="Times New Roman" w:cs="Times New Roman"/>
          <w:kern w:val="24"/>
          <w:sz w:val="24"/>
          <w:szCs w:val="24"/>
        </w:rPr>
        <w:t xml:space="preserve"> </w:t>
      </w:r>
      <w:r w:rsidR="000972C2">
        <w:rPr>
          <w:rFonts w:ascii="Times New Roman" w:hAnsi="Times New Roman" w:cs="Times New Roman"/>
          <w:kern w:val="24"/>
          <w:sz w:val="24"/>
          <w:szCs w:val="24"/>
        </w:rPr>
        <w:t xml:space="preserve">So long as they meet this commitment, companies </w:t>
      </w:r>
      <w:r w:rsidR="007011DA">
        <w:rPr>
          <w:rFonts w:ascii="Times New Roman" w:hAnsi="Times New Roman" w:cs="Times New Roman"/>
          <w:kern w:val="24"/>
          <w:sz w:val="24"/>
          <w:szCs w:val="24"/>
        </w:rPr>
        <w:t xml:space="preserve">are deemed to provide “adequate” protection for the purposes of the 1995 Directive and can transfer personal data to and from the </w:t>
      </w:r>
      <w:r w:rsidR="001C6D99">
        <w:rPr>
          <w:rFonts w:ascii="Times New Roman" w:hAnsi="Times New Roman" w:cs="Times New Roman"/>
          <w:kern w:val="24"/>
          <w:sz w:val="24"/>
          <w:szCs w:val="24"/>
        </w:rPr>
        <w:t xml:space="preserve">E.U. </w:t>
      </w:r>
      <w:r w:rsidR="000972C2">
        <w:rPr>
          <w:rFonts w:ascii="Times New Roman" w:hAnsi="Times New Roman" w:cs="Times New Roman"/>
          <w:kern w:val="24"/>
          <w:sz w:val="24"/>
          <w:szCs w:val="24"/>
        </w:rPr>
        <w:t xml:space="preserve"> However, firms that fail to follow through </w:t>
      </w:r>
      <w:r w:rsidR="007011DA">
        <w:rPr>
          <w:rFonts w:ascii="Times New Roman" w:hAnsi="Times New Roman" w:cs="Times New Roman"/>
          <w:kern w:val="24"/>
          <w:sz w:val="24"/>
          <w:szCs w:val="24"/>
        </w:rPr>
        <w:t>are subject to FTC enforcement under Section 5 of the FTC Act for engaging in a “deceptive” business practice.</w:t>
      </w:r>
      <w:r w:rsidR="007E1D76">
        <w:rPr>
          <w:rStyle w:val="FootnoteReference"/>
          <w:rFonts w:ascii="Times New Roman" w:hAnsi="Times New Roman" w:cs="Times New Roman"/>
          <w:kern w:val="24"/>
          <w:sz w:val="24"/>
          <w:szCs w:val="24"/>
        </w:rPr>
        <w:footnoteReference w:id="120"/>
      </w:r>
      <w:r w:rsidR="0086687E">
        <w:rPr>
          <w:rFonts w:ascii="Times New Roman" w:hAnsi="Times New Roman" w:cs="Times New Roman"/>
          <w:kern w:val="24"/>
          <w:sz w:val="24"/>
          <w:szCs w:val="24"/>
        </w:rPr>
        <w:t xml:space="preserve"> </w:t>
      </w:r>
      <w:r w:rsidR="007011DA">
        <w:rPr>
          <w:rFonts w:ascii="Times New Roman" w:hAnsi="Times New Roman" w:cs="Times New Roman"/>
          <w:kern w:val="24"/>
          <w:sz w:val="24"/>
          <w:szCs w:val="24"/>
        </w:rPr>
        <w:t xml:space="preserve">Companies that fail to sign up for the Safe Harbor program </w:t>
      </w:r>
      <w:r w:rsidR="000972C2">
        <w:rPr>
          <w:rFonts w:ascii="Times New Roman" w:hAnsi="Times New Roman" w:cs="Times New Roman"/>
          <w:kern w:val="24"/>
          <w:sz w:val="24"/>
          <w:szCs w:val="24"/>
        </w:rPr>
        <w:t xml:space="preserve">altogether </w:t>
      </w:r>
      <w:r w:rsidR="007011DA">
        <w:rPr>
          <w:rFonts w:ascii="Times New Roman" w:hAnsi="Times New Roman" w:cs="Times New Roman"/>
          <w:kern w:val="24"/>
          <w:sz w:val="24"/>
          <w:szCs w:val="24"/>
        </w:rPr>
        <w:t xml:space="preserve">are deemed not to provide “adequate” protection and are, in theory, prohibited from processing the personal data of </w:t>
      </w:r>
      <w:r w:rsidR="001C6D99">
        <w:rPr>
          <w:rFonts w:ascii="Times New Roman" w:hAnsi="Times New Roman" w:cs="Times New Roman"/>
          <w:kern w:val="24"/>
          <w:sz w:val="24"/>
          <w:szCs w:val="24"/>
        </w:rPr>
        <w:t xml:space="preserve">E.U. </w:t>
      </w:r>
      <w:r w:rsidR="007011DA">
        <w:rPr>
          <w:rFonts w:ascii="Times New Roman" w:hAnsi="Times New Roman" w:cs="Times New Roman"/>
          <w:kern w:val="24"/>
          <w:sz w:val="24"/>
          <w:szCs w:val="24"/>
        </w:rPr>
        <w:t xml:space="preserve">citizens. </w:t>
      </w:r>
    </w:p>
    <w:p w:rsidR="000D39F9" w:rsidRDefault="007011DA"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The U.S.-</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Safe Harbor Agreement is similar in many ways to BCRs and APEC CBPRs.</w:t>
      </w:r>
      <w:r w:rsidR="0086687E">
        <w:rPr>
          <w:rFonts w:ascii="Times New Roman" w:hAnsi="Times New Roman" w:cs="Times New Roman"/>
          <w:kern w:val="24"/>
          <w:sz w:val="24"/>
          <w:szCs w:val="24"/>
        </w:rPr>
        <w:t xml:space="preserve"> </w:t>
      </w:r>
      <w:r w:rsidR="00B54B29">
        <w:rPr>
          <w:rFonts w:ascii="Times New Roman" w:hAnsi="Times New Roman" w:cs="Times New Roman"/>
          <w:kern w:val="24"/>
          <w:sz w:val="24"/>
          <w:szCs w:val="24"/>
        </w:rPr>
        <w:t xml:space="preserve">One </w:t>
      </w:r>
      <w:r>
        <w:rPr>
          <w:rFonts w:ascii="Times New Roman" w:hAnsi="Times New Roman" w:cs="Times New Roman"/>
          <w:kern w:val="24"/>
          <w:sz w:val="24"/>
          <w:szCs w:val="24"/>
        </w:rPr>
        <w:t xml:space="preserve">salient difference is </w:t>
      </w:r>
      <w:r w:rsidR="007F15F2">
        <w:rPr>
          <w:rFonts w:ascii="Times New Roman" w:hAnsi="Times New Roman" w:cs="Times New Roman"/>
          <w:kern w:val="24"/>
          <w:sz w:val="24"/>
          <w:szCs w:val="24"/>
        </w:rPr>
        <w:t>that</w:t>
      </w:r>
      <w:r w:rsidR="00632E3D">
        <w:rPr>
          <w:rFonts w:ascii="Times New Roman" w:hAnsi="Times New Roman" w:cs="Times New Roman"/>
          <w:kern w:val="24"/>
          <w:sz w:val="24"/>
          <w:szCs w:val="24"/>
        </w:rPr>
        <w:t>, while</w:t>
      </w:r>
      <w:r w:rsidR="007F15F2">
        <w:rPr>
          <w:rFonts w:ascii="Times New Roman" w:hAnsi="Times New Roman" w:cs="Times New Roman"/>
          <w:kern w:val="24"/>
          <w:sz w:val="24"/>
          <w:szCs w:val="24"/>
        </w:rPr>
        <w:t xml:space="preserve"> </w:t>
      </w:r>
      <w:r w:rsidR="00632E3D">
        <w:rPr>
          <w:rFonts w:ascii="Times New Roman" w:hAnsi="Times New Roman" w:cs="Times New Roman"/>
          <w:kern w:val="24"/>
          <w:sz w:val="24"/>
          <w:szCs w:val="24"/>
        </w:rPr>
        <w:t xml:space="preserve">the BCR and APEC CBPR initiatives currently allow only individual companies to </w:t>
      </w:r>
      <w:r w:rsidR="009C7A59">
        <w:rPr>
          <w:rFonts w:ascii="Times New Roman" w:hAnsi="Times New Roman" w:cs="Times New Roman"/>
          <w:kern w:val="24"/>
          <w:sz w:val="24"/>
          <w:szCs w:val="24"/>
        </w:rPr>
        <w:t xml:space="preserve">develop </w:t>
      </w:r>
      <w:r w:rsidR="00B54B29">
        <w:rPr>
          <w:rFonts w:ascii="Times New Roman" w:hAnsi="Times New Roman" w:cs="Times New Roman"/>
          <w:kern w:val="24"/>
          <w:sz w:val="24"/>
          <w:szCs w:val="24"/>
        </w:rPr>
        <w:t>code of conduct</w:t>
      </w:r>
      <w:r w:rsidR="00632E3D">
        <w:rPr>
          <w:rFonts w:ascii="Times New Roman" w:hAnsi="Times New Roman" w:cs="Times New Roman"/>
          <w:kern w:val="24"/>
          <w:sz w:val="24"/>
          <w:szCs w:val="24"/>
        </w:rPr>
        <w:t xml:space="preserve">, the Safe Harbor program allows </w:t>
      </w:r>
      <w:r w:rsidR="00B54B29">
        <w:rPr>
          <w:rFonts w:ascii="Times New Roman" w:hAnsi="Times New Roman" w:cs="Times New Roman"/>
          <w:kern w:val="24"/>
          <w:sz w:val="24"/>
          <w:szCs w:val="24"/>
        </w:rPr>
        <w:t xml:space="preserve">self-regulatory privacy programs to </w:t>
      </w:r>
      <w:r w:rsidR="00632E3D">
        <w:rPr>
          <w:rFonts w:ascii="Times New Roman" w:hAnsi="Times New Roman" w:cs="Times New Roman"/>
          <w:kern w:val="24"/>
          <w:sz w:val="24"/>
          <w:szCs w:val="24"/>
        </w:rPr>
        <w:t>do so as well</w:t>
      </w:r>
      <w:r w:rsidR="00B54B29">
        <w:rPr>
          <w:rFonts w:ascii="Times New Roman" w:hAnsi="Times New Roman" w:cs="Times New Roman"/>
          <w:kern w:val="24"/>
          <w:sz w:val="24"/>
          <w:szCs w:val="24"/>
        </w:rPr>
        <w:t xml:space="preserve"> and to allow many different companies, from a variety of economic sectors, to “join” the organization and commit to complying with its set of practices. </w:t>
      </w:r>
    </w:p>
    <w:p w:rsidR="0086687E" w:rsidRDefault="0086687E" w:rsidP="001610E3">
      <w:pPr>
        <w:autoSpaceDE w:val="0"/>
        <w:autoSpaceDN w:val="0"/>
        <w:adjustRightInd w:val="0"/>
        <w:spacing w:after="0" w:line="480" w:lineRule="auto"/>
        <w:ind w:firstLine="720"/>
        <w:rPr>
          <w:rFonts w:ascii="Times New Roman" w:hAnsi="Times New Roman" w:cs="Times New Roman"/>
          <w:kern w:val="24"/>
          <w:sz w:val="24"/>
          <w:szCs w:val="24"/>
        </w:rPr>
      </w:pPr>
    </w:p>
    <w:p w:rsidR="0086687E" w:rsidRDefault="0086687E" w:rsidP="0078420B">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D.   </w:t>
      </w:r>
      <w:r w:rsidR="006408BB" w:rsidRPr="0086687E">
        <w:rPr>
          <w:rFonts w:ascii="Times New Roman" w:hAnsi="Times New Roman" w:cs="Times New Roman"/>
          <w:kern w:val="24"/>
          <w:sz w:val="24"/>
          <w:szCs w:val="24"/>
          <w:u w:val="single"/>
        </w:rPr>
        <w:t xml:space="preserve">The </w:t>
      </w:r>
      <w:r w:rsidRPr="0086687E">
        <w:rPr>
          <w:rFonts w:ascii="Times New Roman" w:hAnsi="Times New Roman" w:cs="Times New Roman"/>
          <w:kern w:val="24"/>
          <w:sz w:val="24"/>
          <w:szCs w:val="24"/>
          <w:u w:val="single"/>
        </w:rPr>
        <w:t>Current I</w:t>
      </w:r>
      <w:r w:rsidR="003755CC" w:rsidRPr="0086687E">
        <w:rPr>
          <w:rFonts w:ascii="Times New Roman" w:hAnsi="Times New Roman" w:cs="Times New Roman"/>
          <w:kern w:val="24"/>
          <w:sz w:val="24"/>
          <w:szCs w:val="24"/>
          <w:u w:val="single"/>
        </w:rPr>
        <w:t>nitiatives</w:t>
      </w:r>
      <w:r w:rsidRPr="0086687E">
        <w:rPr>
          <w:rFonts w:ascii="Times New Roman" w:hAnsi="Times New Roman" w:cs="Times New Roman"/>
          <w:kern w:val="24"/>
          <w:sz w:val="24"/>
          <w:szCs w:val="24"/>
          <w:u w:val="single"/>
        </w:rPr>
        <w:t xml:space="preserve"> </w:t>
      </w:r>
      <w:r w:rsidR="002F65D4">
        <w:rPr>
          <w:rFonts w:ascii="Times New Roman" w:hAnsi="Times New Roman" w:cs="Times New Roman"/>
          <w:kern w:val="24"/>
          <w:sz w:val="24"/>
          <w:szCs w:val="24"/>
          <w:u w:val="single"/>
        </w:rPr>
        <w:t xml:space="preserve">are </w:t>
      </w:r>
      <w:proofErr w:type="gramStart"/>
      <w:r w:rsidR="002F65D4">
        <w:rPr>
          <w:rFonts w:ascii="Times New Roman" w:hAnsi="Times New Roman" w:cs="Times New Roman"/>
          <w:kern w:val="24"/>
          <w:sz w:val="24"/>
          <w:szCs w:val="24"/>
          <w:u w:val="single"/>
        </w:rPr>
        <w:t>Flawed</w:t>
      </w:r>
      <w:proofErr w:type="gramEnd"/>
    </w:p>
    <w:p w:rsidR="002F65D4" w:rsidRDefault="009D59C4"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w:t>
      </w:r>
      <w:r w:rsidR="00DC3D9E">
        <w:rPr>
          <w:rFonts w:ascii="Times New Roman" w:hAnsi="Times New Roman" w:cs="Times New Roman"/>
          <w:kern w:val="24"/>
          <w:sz w:val="24"/>
          <w:szCs w:val="24"/>
        </w:rPr>
        <w:t>he current initiatives—BCRs, CBPRs, and the U.S.-</w:t>
      </w:r>
      <w:r w:rsidR="001C6D99">
        <w:rPr>
          <w:rFonts w:ascii="Times New Roman" w:hAnsi="Times New Roman" w:cs="Times New Roman"/>
          <w:kern w:val="24"/>
          <w:sz w:val="24"/>
          <w:szCs w:val="24"/>
        </w:rPr>
        <w:t xml:space="preserve">E.U. </w:t>
      </w:r>
      <w:r w:rsidR="00DC3D9E">
        <w:rPr>
          <w:rFonts w:ascii="Times New Roman" w:hAnsi="Times New Roman" w:cs="Times New Roman"/>
          <w:kern w:val="24"/>
          <w:sz w:val="24"/>
          <w:szCs w:val="24"/>
        </w:rPr>
        <w:t>Safe Harbor Agreement—</w:t>
      </w:r>
      <w:r>
        <w:rPr>
          <w:rFonts w:ascii="Times New Roman" w:hAnsi="Times New Roman" w:cs="Times New Roman"/>
          <w:kern w:val="24"/>
          <w:sz w:val="24"/>
          <w:szCs w:val="24"/>
        </w:rPr>
        <w:t>share some common virtues.</w:t>
      </w:r>
      <w:r w:rsidR="002F65D4">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They </w:t>
      </w:r>
      <w:r w:rsidR="004C7AC9">
        <w:rPr>
          <w:rFonts w:ascii="Times New Roman" w:hAnsi="Times New Roman" w:cs="Times New Roman"/>
          <w:kern w:val="24"/>
          <w:sz w:val="24"/>
          <w:szCs w:val="24"/>
        </w:rPr>
        <w:t xml:space="preserve">provide companies </w:t>
      </w:r>
      <w:r>
        <w:rPr>
          <w:rFonts w:ascii="Times New Roman" w:hAnsi="Times New Roman" w:cs="Times New Roman"/>
          <w:kern w:val="24"/>
          <w:sz w:val="24"/>
          <w:szCs w:val="24"/>
        </w:rPr>
        <w:t xml:space="preserve">(and, in the case of the Safe Harbor Agreement, </w:t>
      </w:r>
      <w:r w:rsidR="002F65D4">
        <w:rPr>
          <w:rFonts w:ascii="Times New Roman" w:hAnsi="Times New Roman" w:cs="Times New Roman"/>
          <w:kern w:val="24"/>
          <w:sz w:val="24"/>
          <w:szCs w:val="24"/>
        </w:rPr>
        <w:t xml:space="preserve">self-regulatory privacy programs such as </w:t>
      </w:r>
      <w:proofErr w:type="spellStart"/>
      <w:r w:rsidR="002F65D4">
        <w:rPr>
          <w:rFonts w:ascii="Times New Roman" w:hAnsi="Times New Roman" w:cs="Times New Roman"/>
          <w:kern w:val="24"/>
          <w:sz w:val="24"/>
          <w:szCs w:val="24"/>
        </w:rPr>
        <w:t>TRUSTe</w:t>
      </w:r>
      <w:proofErr w:type="spellEnd"/>
      <w:r>
        <w:rPr>
          <w:rFonts w:ascii="Times New Roman" w:hAnsi="Times New Roman" w:cs="Times New Roman"/>
          <w:kern w:val="24"/>
          <w:sz w:val="24"/>
          <w:szCs w:val="24"/>
        </w:rPr>
        <w:t xml:space="preserve">) </w:t>
      </w:r>
      <w:r w:rsidR="004C7AC9">
        <w:rPr>
          <w:rFonts w:ascii="Times New Roman" w:hAnsi="Times New Roman" w:cs="Times New Roman"/>
          <w:kern w:val="24"/>
          <w:sz w:val="24"/>
          <w:szCs w:val="24"/>
        </w:rPr>
        <w:t>with a means to create an approved, cross-border set of privacy rules.</w:t>
      </w:r>
      <w:r w:rsidR="002F65D4">
        <w:rPr>
          <w:rFonts w:ascii="Times New Roman" w:hAnsi="Times New Roman" w:cs="Times New Roman"/>
          <w:kern w:val="24"/>
          <w:sz w:val="24"/>
          <w:szCs w:val="24"/>
        </w:rPr>
        <w:t xml:space="preserve"> </w:t>
      </w:r>
      <w:r w:rsidR="006408BB">
        <w:rPr>
          <w:rFonts w:ascii="Times New Roman" w:hAnsi="Times New Roman" w:cs="Times New Roman"/>
          <w:kern w:val="24"/>
          <w:sz w:val="24"/>
          <w:szCs w:val="24"/>
        </w:rPr>
        <w:t>And they do this through a co-regulatory mechanism that utilizes industry knowledge to produce intelligent rules.</w:t>
      </w:r>
      <w:r w:rsidR="002F65D4">
        <w:rPr>
          <w:rFonts w:ascii="Times New Roman" w:hAnsi="Times New Roman" w:cs="Times New Roman"/>
          <w:kern w:val="24"/>
          <w:sz w:val="24"/>
          <w:szCs w:val="24"/>
        </w:rPr>
        <w:t xml:space="preserve"> </w:t>
      </w:r>
      <w:r w:rsidR="004C7AC9">
        <w:rPr>
          <w:rFonts w:ascii="Times New Roman" w:hAnsi="Times New Roman" w:cs="Times New Roman"/>
          <w:kern w:val="24"/>
          <w:sz w:val="24"/>
          <w:szCs w:val="24"/>
        </w:rPr>
        <w:t xml:space="preserve">Each works only with respect to </w:t>
      </w:r>
      <w:r w:rsidR="004C7AC9">
        <w:rPr>
          <w:rFonts w:ascii="Times New Roman" w:hAnsi="Times New Roman" w:cs="Times New Roman"/>
          <w:kern w:val="24"/>
          <w:sz w:val="24"/>
          <w:szCs w:val="24"/>
        </w:rPr>
        <w:lastRenderedPageBreak/>
        <w:t xml:space="preserve">certain borders (for BCRs, the borders of </w:t>
      </w:r>
      <w:r w:rsidR="001C6D99">
        <w:rPr>
          <w:rFonts w:ascii="Times New Roman" w:hAnsi="Times New Roman" w:cs="Times New Roman"/>
          <w:kern w:val="24"/>
          <w:sz w:val="24"/>
          <w:szCs w:val="24"/>
        </w:rPr>
        <w:t xml:space="preserve">E.U. </w:t>
      </w:r>
      <w:r w:rsidR="004C7AC9">
        <w:rPr>
          <w:rFonts w:ascii="Times New Roman" w:hAnsi="Times New Roman" w:cs="Times New Roman"/>
          <w:kern w:val="24"/>
          <w:sz w:val="24"/>
          <w:szCs w:val="24"/>
        </w:rPr>
        <w:t xml:space="preserve">nations; for CBPRs, those of APEC member nations; and for the Safe Harbor Agreement, that between the </w:t>
      </w:r>
      <w:r w:rsidR="001C6D99">
        <w:rPr>
          <w:rFonts w:ascii="Times New Roman" w:hAnsi="Times New Roman" w:cs="Times New Roman"/>
          <w:kern w:val="24"/>
          <w:sz w:val="24"/>
          <w:szCs w:val="24"/>
        </w:rPr>
        <w:t xml:space="preserve">E.U. </w:t>
      </w:r>
      <w:r w:rsidR="004C7AC9">
        <w:rPr>
          <w:rFonts w:ascii="Times New Roman" w:hAnsi="Times New Roman" w:cs="Times New Roman"/>
          <w:kern w:val="24"/>
          <w:sz w:val="24"/>
          <w:szCs w:val="24"/>
        </w:rPr>
        <w:t>and the U.S.) and so none provide</w:t>
      </w:r>
      <w:r w:rsidR="006408BB">
        <w:rPr>
          <w:rFonts w:ascii="Times New Roman" w:hAnsi="Times New Roman" w:cs="Times New Roman"/>
          <w:kern w:val="24"/>
          <w:sz w:val="24"/>
          <w:szCs w:val="24"/>
        </w:rPr>
        <w:t>s</w:t>
      </w:r>
      <w:r w:rsidR="004C7AC9">
        <w:rPr>
          <w:rFonts w:ascii="Times New Roman" w:hAnsi="Times New Roman" w:cs="Times New Roman"/>
          <w:kern w:val="24"/>
          <w:sz w:val="24"/>
          <w:szCs w:val="24"/>
        </w:rPr>
        <w:t xml:space="preserve"> a truly global solution.</w:t>
      </w:r>
      <w:r w:rsidR="002F65D4">
        <w:rPr>
          <w:rFonts w:ascii="Times New Roman" w:hAnsi="Times New Roman" w:cs="Times New Roman"/>
          <w:kern w:val="24"/>
          <w:sz w:val="24"/>
          <w:szCs w:val="24"/>
        </w:rPr>
        <w:t xml:space="preserve"> </w:t>
      </w:r>
      <w:r w:rsidR="00D62123">
        <w:rPr>
          <w:rFonts w:ascii="Times New Roman" w:hAnsi="Times New Roman" w:cs="Times New Roman"/>
          <w:kern w:val="24"/>
          <w:sz w:val="24"/>
          <w:szCs w:val="24"/>
        </w:rPr>
        <w:t>Still, each take</w:t>
      </w:r>
      <w:r w:rsidR="006408BB">
        <w:rPr>
          <w:rFonts w:ascii="Times New Roman" w:hAnsi="Times New Roman" w:cs="Times New Roman"/>
          <w:kern w:val="24"/>
          <w:sz w:val="24"/>
          <w:szCs w:val="24"/>
        </w:rPr>
        <w:t>s</w:t>
      </w:r>
      <w:r w:rsidR="00D62123">
        <w:rPr>
          <w:rFonts w:ascii="Times New Roman" w:hAnsi="Times New Roman" w:cs="Times New Roman"/>
          <w:kern w:val="24"/>
          <w:sz w:val="24"/>
          <w:szCs w:val="24"/>
        </w:rPr>
        <w:t xml:space="preserve"> an important step towards the goal of broadly applicable, cross-border privacy rules.</w:t>
      </w:r>
    </w:p>
    <w:p w:rsidR="00B95CC3" w:rsidRDefault="006408BB"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three initiatives </w:t>
      </w:r>
      <w:r w:rsidR="00D62123">
        <w:rPr>
          <w:rFonts w:ascii="Times New Roman" w:hAnsi="Times New Roman" w:cs="Times New Roman"/>
          <w:kern w:val="24"/>
          <w:sz w:val="24"/>
          <w:szCs w:val="24"/>
        </w:rPr>
        <w:t>also suffer from the same</w:t>
      </w:r>
      <w:r>
        <w:rPr>
          <w:rFonts w:ascii="Times New Roman" w:hAnsi="Times New Roman" w:cs="Times New Roman"/>
          <w:kern w:val="24"/>
          <w:sz w:val="24"/>
          <w:szCs w:val="24"/>
        </w:rPr>
        <w:t>,</w:t>
      </w:r>
      <w:r w:rsidR="00804E75">
        <w:rPr>
          <w:rFonts w:ascii="Times New Roman" w:hAnsi="Times New Roman" w:cs="Times New Roman"/>
          <w:kern w:val="24"/>
          <w:sz w:val="24"/>
          <w:szCs w:val="24"/>
        </w:rPr>
        <w:t xml:space="preserve"> fundamental </w:t>
      </w:r>
      <w:r w:rsidR="005270AC">
        <w:rPr>
          <w:rFonts w:ascii="Times New Roman" w:hAnsi="Times New Roman" w:cs="Times New Roman"/>
          <w:kern w:val="24"/>
          <w:sz w:val="24"/>
          <w:szCs w:val="24"/>
        </w:rPr>
        <w:t>weakness</w:t>
      </w:r>
      <w:r w:rsidR="00804E75">
        <w:rPr>
          <w:rFonts w:ascii="Times New Roman" w:hAnsi="Times New Roman" w:cs="Times New Roman"/>
          <w:kern w:val="24"/>
          <w:sz w:val="24"/>
          <w:szCs w:val="24"/>
        </w:rPr>
        <w:t xml:space="preserve">: </w:t>
      </w:r>
      <w:r w:rsidR="00804E75" w:rsidRPr="002F65D4">
        <w:rPr>
          <w:rFonts w:ascii="Times New Roman" w:hAnsi="Times New Roman" w:cs="Times New Roman"/>
          <w:i/>
          <w:kern w:val="24"/>
          <w:sz w:val="24"/>
          <w:szCs w:val="24"/>
        </w:rPr>
        <w:t xml:space="preserve">they </w:t>
      </w:r>
      <w:r w:rsidR="00917BB7" w:rsidRPr="002F65D4">
        <w:rPr>
          <w:rFonts w:ascii="Times New Roman" w:hAnsi="Times New Roman" w:cs="Times New Roman"/>
          <w:i/>
          <w:kern w:val="24"/>
          <w:sz w:val="24"/>
          <w:szCs w:val="24"/>
        </w:rPr>
        <w:t xml:space="preserve">rely on </w:t>
      </w:r>
      <w:r w:rsidR="00B231D5" w:rsidRPr="002F65D4">
        <w:rPr>
          <w:rFonts w:ascii="Times New Roman" w:hAnsi="Times New Roman" w:cs="Times New Roman"/>
          <w:i/>
          <w:kern w:val="24"/>
          <w:sz w:val="24"/>
          <w:szCs w:val="24"/>
        </w:rPr>
        <w:t xml:space="preserve">individual companies, rather than industry sectors, </w:t>
      </w:r>
      <w:r w:rsidR="00917BB7" w:rsidRPr="002F65D4">
        <w:rPr>
          <w:rFonts w:ascii="Times New Roman" w:hAnsi="Times New Roman" w:cs="Times New Roman"/>
          <w:i/>
          <w:kern w:val="24"/>
          <w:sz w:val="24"/>
          <w:szCs w:val="24"/>
        </w:rPr>
        <w:t xml:space="preserve">to </w:t>
      </w:r>
      <w:r w:rsidR="00B231D5" w:rsidRPr="002F65D4">
        <w:rPr>
          <w:rFonts w:ascii="Times New Roman" w:hAnsi="Times New Roman" w:cs="Times New Roman"/>
          <w:i/>
          <w:kern w:val="24"/>
          <w:sz w:val="24"/>
          <w:szCs w:val="24"/>
        </w:rPr>
        <w:t xml:space="preserve">draft the cross-border </w:t>
      </w:r>
      <w:r w:rsidR="002F65D4" w:rsidRPr="002F65D4">
        <w:rPr>
          <w:rFonts w:ascii="Times New Roman" w:hAnsi="Times New Roman" w:cs="Times New Roman"/>
          <w:i/>
          <w:kern w:val="24"/>
          <w:sz w:val="24"/>
          <w:szCs w:val="24"/>
        </w:rPr>
        <w:t>privacy rules</w:t>
      </w:r>
      <w:r w:rsidR="00804E75">
        <w:rPr>
          <w:rFonts w:ascii="Times New Roman" w:hAnsi="Times New Roman" w:cs="Times New Roman"/>
          <w:kern w:val="24"/>
          <w:sz w:val="24"/>
          <w:szCs w:val="24"/>
        </w:rPr>
        <w:t>.</w:t>
      </w:r>
      <w:r w:rsidR="00804E75">
        <w:rPr>
          <w:rStyle w:val="FootnoteReference"/>
          <w:rFonts w:ascii="Times New Roman" w:hAnsi="Times New Roman" w:cs="Times New Roman"/>
          <w:kern w:val="24"/>
          <w:sz w:val="24"/>
          <w:szCs w:val="24"/>
        </w:rPr>
        <w:footnoteReference w:id="121"/>
      </w:r>
      <w:r w:rsidR="00B95CC3">
        <w:rPr>
          <w:rFonts w:ascii="Times New Roman" w:hAnsi="Times New Roman" w:cs="Times New Roman"/>
          <w:kern w:val="24"/>
          <w:sz w:val="24"/>
          <w:szCs w:val="24"/>
        </w:rPr>
        <w:t xml:space="preserve">  That is, they are company-based codes, rather than sector-based ones. </w:t>
      </w:r>
      <w:r w:rsidR="005270AC">
        <w:rPr>
          <w:rFonts w:ascii="Times New Roman" w:hAnsi="Times New Roman" w:cs="Times New Roman"/>
          <w:kern w:val="24"/>
          <w:sz w:val="24"/>
          <w:szCs w:val="24"/>
        </w:rPr>
        <w:t xml:space="preserve">This has a number of important drawbacks that </w:t>
      </w:r>
      <w:r w:rsidR="009B5E28">
        <w:rPr>
          <w:rFonts w:ascii="Times New Roman" w:hAnsi="Times New Roman" w:cs="Times New Roman"/>
          <w:kern w:val="24"/>
          <w:sz w:val="24"/>
          <w:szCs w:val="24"/>
        </w:rPr>
        <w:t xml:space="preserve">those who promote and write about </w:t>
      </w:r>
      <w:r w:rsidR="005270AC">
        <w:rPr>
          <w:rFonts w:ascii="Times New Roman" w:hAnsi="Times New Roman" w:cs="Times New Roman"/>
          <w:kern w:val="24"/>
          <w:sz w:val="24"/>
          <w:szCs w:val="24"/>
        </w:rPr>
        <w:t>cross-border priv</w:t>
      </w:r>
      <w:r w:rsidR="009B5E28">
        <w:rPr>
          <w:rFonts w:ascii="Times New Roman" w:hAnsi="Times New Roman" w:cs="Times New Roman"/>
          <w:kern w:val="24"/>
          <w:sz w:val="24"/>
          <w:szCs w:val="24"/>
        </w:rPr>
        <w:t>acy rules do not appear as yet to have grappled with</w:t>
      </w:r>
      <w:r w:rsidR="005270AC">
        <w:rPr>
          <w:rFonts w:ascii="Times New Roman" w:hAnsi="Times New Roman" w:cs="Times New Roman"/>
          <w:kern w:val="24"/>
          <w:sz w:val="24"/>
          <w:szCs w:val="24"/>
        </w:rPr>
        <w:t>.</w:t>
      </w:r>
      <w:r w:rsidR="002F65D4">
        <w:rPr>
          <w:rFonts w:ascii="Times New Roman" w:hAnsi="Times New Roman" w:cs="Times New Roman"/>
          <w:kern w:val="24"/>
          <w:sz w:val="24"/>
          <w:szCs w:val="24"/>
        </w:rPr>
        <w:t xml:space="preserve"> </w:t>
      </w:r>
    </w:p>
    <w:p w:rsidR="00FB7524" w:rsidRDefault="005270AC"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To begin with, it is expensive to write a comprehensive privacy code and negotiate it with the relevant authority.</w:t>
      </w:r>
      <w:r w:rsidR="002F65D4">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Only the largest and most sophisticated companies </w:t>
      </w:r>
      <w:r w:rsidR="009B5E28">
        <w:rPr>
          <w:rFonts w:ascii="Times New Roman" w:hAnsi="Times New Roman" w:cs="Times New Roman"/>
          <w:kern w:val="24"/>
          <w:sz w:val="24"/>
          <w:szCs w:val="24"/>
        </w:rPr>
        <w:t xml:space="preserve">have the resources and expertise to do </w:t>
      </w:r>
      <w:r>
        <w:rPr>
          <w:rFonts w:ascii="Times New Roman" w:hAnsi="Times New Roman" w:cs="Times New Roman"/>
          <w:kern w:val="24"/>
          <w:sz w:val="24"/>
          <w:szCs w:val="24"/>
        </w:rPr>
        <w:t>this.</w:t>
      </w:r>
      <w:r w:rsidR="0012084E">
        <w:rPr>
          <w:rStyle w:val="FootnoteReference"/>
          <w:rFonts w:ascii="Times New Roman" w:hAnsi="Times New Roman" w:cs="Times New Roman"/>
          <w:kern w:val="24"/>
          <w:sz w:val="24"/>
          <w:szCs w:val="24"/>
        </w:rPr>
        <w:footnoteReference w:id="122"/>
      </w:r>
      <w:r w:rsidR="002F65D4">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Small and medium –sized businesses, and even some large companies, will not </w:t>
      </w:r>
      <w:r w:rsidR="009B5E28">
        <w:rPr>
          <w:rFonts w:ascii="Times New Roman" w:hAnsi="Times New Roman" w:cs="Times New Roman"/>
          <w:kern w:val="24"/>
          <w:sz w:val="24"/>
          <w:szCs w:val="24"/>
        </w:rPr>
        <w:t xml:space="preserve">be able </w:t>
      </w:r>
      <w:r>
        <w:rPr>
          <w:rFonts w:ascii="Times New Roman" w:hAnsi="Times New Roman" w:cs="Times New Roman"/>
          <w:kern w:val="24"/>
          <w:sz w:val="24"/>
          <w:szCs w:val="24"/>
        </w:rPr>
        <w:t>to develop their own company-specific code of conduct that meets the requirements of the 1995 Data Protection Directive, APEC Privacy Principles</w:t>
      </w:r>
      <w:r w:rsidR="00B95CC3">
        <w:rPr>
          <w:rFonts w:ascii="Times New Roman" w:hAnsi="Times New Roman" w:cs="Times New Roman"/>
          <w:kern w:val="24"/>
          <w:sz w:val="24"/>
          <w:szCs w:val="24"/>
        </w:rPr>
        <w:t xml:space="preserve"> and/or U.S.-</w:t>
      </w:r>
      <w:r w:rsidR="001C6D99">
        <w:rPr>
          <w:rFonts w:ascii="Times New Roman" w:hAnsi="Times New Roman" w:cs="Times New Roman"/>
          <w:kern w:val="24"/>
          <w:sz w:val="24"/>
          <w:szCs w:val="24"/>
        </w:rPr>
        <w:t xml:space="preserve">E.U. </w:t>
      </w:r>
      <w:r w:rsidR="00B95CC3">
        <w:rPr>
          <w:rFonts w:ascii="Times New Roman" w:hAnsi="Times New Roman" w:cs="Times New Roman"/>
          <w:kern w:val="24"/>
          <w:sz w:val="24"/>
          <w:szCs w:val="24"/>
        </w:rPr>
        <w:t>Safe Harbor A</w:t>
      </w:r>
      <w:r>
        <w:rPr>
          <w:rFonts w:ascii="Times New Roman" w:hAnsi="Times New Roman" w:cs="Times New Roman"/>
          <w:kern w:val="24"/>
          <w:sz w:val="24"/>
          <w:szCs w:val="24"/>
        </w:rPr>
        <w:t>greement.</w:t>
      </w:r>
      <w:r w:rsidR="002A4ED0">
        <w:rPr>
          <w:rStyle w:val="FootnoteReference"/>
          <w:rFonts w:ascii="Times New Roman" w:hAnsi="Times New Roman" w:cs="Times New Roman"/>
          <w:kern w:val="24"/>
          <w:sz w:val="24"/>
          <w:szCs w:val="24"/>
        </w:rPr>
        <w:footnoteReference w:id="123"/>
      </w:r>
      <w:r w:rsidR="00B95CC3">
        <w:rPr>
          <w:rFonts w:ascii="Times New Roman" w:hAnsi="Times New Roman" w:cs="Times New Roman"/>
          <w:kern w:val="24"/>
          <w:sz w:val="24"/>
          <w:szCs w:val="24"/>
        </w:rPr>
        <w:t xml:space="preserve"> </w:t>
      </w:r>
      <w:r w:rsidR="009B5E28">
        <w:rPr>
          <w:rFonts w:ascii="Times New Roman" w:hAnsi="Times New Roman" w:cs="Times New Roman"/>
          <w:kern w:val="24"/>
          <w:sz w:val="24"/>
          <w:szCs w:val="24"/>
        </w:rPr>
        <w:t xml:space="preserve">As a consequence, </w:t>
      </w:r>
      <w:r>
        <w:rPr>
          <w:rFonts w:ascii="Times New Roman" w:hAnsi="Times New Roman" w:cs="Times New Roman"/>
          <w:kern w:val="24"/>
          <w:sz w:val="24"/>
          <w:szCs w:val="24"/>
        </w:rPr>
        <w:t>only the largest and most knowledgeable companies wil</w:t>
      </w:r>
      <w:r w:rsidR="00B95CC3">
        <w:rPr>
          <w:rFonts w:ascii="Times New Roman" w:hAnsi="Times New Roman" w:cs="Times New Roman"/>
          <w:kern w:val="24"/>
          <w:sz w:val="24"/>
          <w:szCs w:val="24"/>
        </w:rPr>
        <w:t xml:space="preserve">l be able to take advantage of </w:t>
      </w:r>
      <w:r>
        <w:rPr>
          <w:rFonts w:ascii="Times New Roman" w:hAnsi="Times New Roman" w:cs="Times New Roman"/>
          <w:kern w:val="24"/>
          <w:sz w:val="24"/>
          <w:szCs w:val="24"/>
        </w:rPr>
        <w:t>BCRs, CBPRs and the Safe Harbor Program</w:t>
      </w:r>
      <w:r w:rsidR="009B5E28">
        <w:rPr>
          <w:rFonts w:ascii="Times New Roman" w:hAnsi="Times New Roman" w:cs="Times New Roman"/>
          <w:kern w:val="24"/>
          <w:sz w:val="24"/>
          <w:szCs w:val="24"/>
        </w:rPr>
        <w:t xml:space="preserve"> (unless they participate in a </w:t>
      </w:r>
      <w:r w:rsidR="00B95CC3">
        <w:rPr>
          <w:rFonts w:ascii="Times New Roman" w:hAnsi="Times New Roman" w:cs="Times New Roman"/>
          <w:kern w:val="24"/>
          <w:sz w:val="24"/>
          <w:szCs w:val="24"/>
        </w:rPr>
        <w:t>self-regulatory privacy program</w:t>
      </w:r>
      <w:r w:rsidR="009B5E28">
        <w:rPr>
          <w:rFonts w:ascii="Times New Roman" w:hAnsi="Times New Roman" w:cs="Times New Roman"/>
          <w:kern w:val="24"/>
          <w:sz w:val="24"/>
          <w:szCs w:val="24"/>
        </w:rPr>
        <w:t>, the drawbacks of which are detailed below.)</w:t>
      </w:r>
      <w:r w:rsidR="009B5E28">
        <w:rPr>
          <w:rStyle w:val="FootnoteReference"/>
          <w:rFonts w:ascii="Times New Roman" w:hAnsi="Times New Roman" w:cs="Times New Roman"/>
          <w:kern w:val="24"/>
          <w:sz w:val="24"/>
          <w:szCs w:val="24"/>
        </w:rPr>
        <w:footnoteReference w:id="124"/>
      </w:r>
      <w:r w:rsidR="00B95CC3">
        <w:rPr>
          <w:rFonts w:ascii="Times New Roman" w:hAnsi="Times New Roman" w:cs="Times New Roman"/>
          <w:kern w:val="24"/>
          <w:sz w:val="24"/>
          <w:szCs w:val="24"/>
        </w:rPr>
        <w:t xml:space="preserve"> </w:t>
      </w:r>
      <w:r>
        <w:rPr>
          <w:rFonts w:ascii="Times New Roman" w:hAnsi="Times New Roman" w:cs="Times New Roman"/>
          <w:kern w:val="24"/>
          <w:sz w:val="24"/>
          <w:szCs w:val="24"/>
        </w:rPr>
        <w:t>The roster of companies that have successfully negotiated the BCR process bears this out.</w:t>
      </w:r>
      <w:r w:rsidR="00B95CC3">
        <w:rPr>
          <w:rFonts w:ascii="Times New Roman" w:hAnsi="Times New Roman" w:cs="Times New Roman"/>
          <w:kern w:val="24"/>
          <w:sz w:val="24"/>
          <w:szCs w:val="24"/>
        </w:rPr>
        <w:t xml:space="preserve"> </w:t>
      </w:r>
      <w:r w:rsidR="003E0712">
        <w:rPr>
          <w:rFonts w:ascii="Times New Roman" w:hAnsi="Times New Roman" w:cs="Times New Roman"/>
          <w:kern w:val="24"/>
          <w:sz w:val="24"/>
          <w:szCs w:val="24"/>
        </w:rPr>
        <w:t xml:space="preserve">The list of 39 companies includes such firms as Accenture, American Express, British </w:t>
      </w:r>
      <w:r w:rsidR="003E0712">
        <w:rPr>
          <w:rFonts w:ascii="Times New Roman" w:hAnsi="Times New Roman" w:cs="Times New Roman"/>
          <w:kern w:val="24"/>
          <w:sz w:val="24"/>
          <w:szCs w:val="24"/>
        </w:rPr>
        <w:lastRenderedPageBreak/>
        <w:t xml:space="preserve">Petroleum, Citigroup, </w:t>
      </w:r>
      <w:proofErr w:type="gramStart"/>
      <w:r w:rsidR="003E0712">
        <w:rPr>
          <w:rFonts w:ascii="Times New Roman" w:hAnsi="Times New Roman" w:cs="Times New Roman"/>
          <w:kern w:val="24"/>
          <w:sz w:val="24"/>
          <w:szCs w:val="24"/>
        </w:rPr>
        <w:t>e</w:t>
      </w:r>
      <w:proofErr w:type="gramEnd"/>
      <w:r w:rsidR="003E0712">
        <w:rPr>
          <w:rFonts w:ascii="Times New Roman" w:hAnsi="Times New Roman" w:cs="Times New Roman"/>
          <w:kern w:val="24"/>
          <w:sz w:val="24"/>
          <w:szCs w:val="24"/>
        </w:rPr>
        <w:t>-Bay, General Electric, ING Bank and Shell International.</w:t>
      </w:r>
      <w:r w:rsidR="003E0712">
        <w:rPr>
          <w:rStyle w:val="FootnoteReference"/>
          <w:rFonts w:ascii="Times New Roman" w:hAnsi="Times New Roman" w:cs="Times New Roman"/>
          <w:kern w:val="24"/>
          <w:sz w:val="24"/>
          <w:szCs w:val="24"/>
        </w:rPr>
        <w:footnoteReference w:id="125"/>
      </w:r>
      <w:r w:rsidR="00B95CC3">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What of all the other companies that also transfer personal data between and among </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member states but cannot afford to draft and negotiate a BCR?</w:t>
      </w:r>
      <w:r w:rsidR="00B95CC3">
        <w:rPr>
          <w:rFonts w:ascii="Times New Roman" w:hAnsi="Times New Roman" w:cs="Times New Roman"/>
          <w:kern w:val="24"/>
          <w:sz w:val="24"/>
          <w:szCs w:val="24"/>
        </w:rPr>
        <w:t xml:space="preserve">  They are left without a streamlined mechanism for compliance with </w:t>
      </w:r>
      <w:r w:rsidR="001C6D99">
        <w:rPr>
          <w:rFonts w:ascii="Times New Roman" w:hAnsi="Times New Roman" w:cs="Times New Roman"/>
          <w:kern w:val="24"/>
          <w:sz w:val="24"/>
          <w:szCs w:val="24"/>
        </w:rPr>
        <w:t xml:space="preserve">E.U. </w:t>
      </w:r>
      <w:r w:rsidR="00B95CC3">
        <w:rPr>
          <w:rFonts w:ascii="Times New Roman" w:hAnsi="Times New Roman" w:cs="Times New Roman"/>
          <w:kern w:val="24"/>
          <w:sz w:val="24"/>
          <w:szCs w:val="24"/>
        </w:rPr>
        <w:t xml:space="preserve">“adequacy” requirements. </w:t>
      </w:r>
      <w:r w:rsidR="006D2010">
        <w:rPr>
          <w:rFonts w:ascii="Times New Roman" w:hAnsi="Times New Roman" w:cs="Times New Roman"/>
          <w:kern w:val="24"/>
          <w:sz w:val="24"/>
          <w:szCs w:val="24"/>
        </w:rPr>
        <w:t xml:space="preserve">The same can be said of APEC Cross-Border Privacy </w:t>
      </w:r>
      <w:proofErr w:type="gramStart"/>
      <w:r w:rsidR="006D2010">
        <w:rPr>
          <w:rFonts w:ascii="Times New Roman" w:hAnsi="Times New Roman" w:cs="Times New Roman"/>
          <w:kern w:val="24"/>
          <w:sz w:val="24"/>
          <w:szCs w:val="24"/>
        </w:rPr>
        <w:t>Rules,</w:t>
      </w:r>
      <w:proofErr w:type="gramEnd"/>
      <w:r w:rsidR="006D2010">
        <w:rPr>
          <w:rFonts w:ascii="Times New Roman" w:hAnsi="Times New Roman" w:cs="Times New Roman"/>
          <w:kern w:val="24"/>
          <w:sz w:val="24"/>
          <w:szCs w:val="24"/>
        </w:rPr>
        <w:t xml:space="preserve"> and </w:t>
      </w:r>
      <w:r w:rsidR="00FB7524">
        <w:rPr>
          <w:rFonts w:ascii="Times New Roman" w:hAnsi="Times New Roman" w:cs="Times New Roman"/>
          <w:kern w:val="24"/>
          <w:sz w:val="24"/>
          <w:szCs w:val="24"/>
        </w:rPr>
        <w:t xml:space="preserve">of </w:t>
      </w:r>
      <w:r w:rsidR="006D2010">
        <w:rPr>
          <w:rFonts w:ascii="Times New Roman" w:hAnsi="Times New Roman" w:cs="Times New Roman"/>
          <w:kern w:val="24"/>
          <w:sz w:val="24"/>
          <w:szCs w:val="24"/>
        </w:rPr>
        <w:t>the U.S.-</w:t>
      </w:r>
      <w:r w:rsidR="001C6D99">
        <w:rPr>
          <w:rFonts w:ascii="Times New Roman" w:hAnsi="Times New Roman" w:cs="Times New Roman"/>
          <w:kern w:val="24"/>
          <w:sz w:val="24"/>
          <w:szCs w:val="24"/>
        </w:rPr>
        <w:t xml:space="preserve">E.U. </w:t>
      </w:r>
      <w:r w:rsidR="006D2010">
        <w:rPr>
          <w:rFonts w:ascii="Times New Roman" w:hAnsi="Times New Roman" w:cs="Times New Roman"/>
          <w:kern w:val="24"/>
          <w:sz w:val="24"/>
          <w:szCs w:val="24"/>
        </w:rPr>
        <w:t xml:space="preserve">Safe Harbor Agreement insofar as it uses </w:t>
      </w:r>
      <w:r w:rsidR="00FB7524">
        <w:rPr>
          <w:rFonts w:ascii="Times New Roman" w:hAnsi="Times New Roman" w:cs="Times New Roman"/>
          <w:kern w:val="24"/>
          <w:sz w:val="24"/>
          <w:szCs w:val="24"/>
        </w:rPr>
        <w:t>company codes of conduct.</w:t>
      </w:r>
      <w:r w:rsidR="002A4ED0">
        <w:rPr>
          <w:rStyle w:val="FootnoteReference"/>
          <w:rFonts w:ascii="Times New Roman" w:hAnsi="Times New Roman" w:cs="Times New Roman"/>
          <w:kern w:val="24"/>
          <w:sz w:val="24"/>
          <w:szCs w:val="24"/>
        </w:rPr>
        <w:footnoteReference w:id="126"/>
      </w:r>
    </w:p>
    <w:p w:rsidR="00D54DD2" w:rsidRDefault="00125104"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Were more </w:t>
      </w:r>
      <w:r w:rsidR="004D0491">
        <w:rPr>
          <w:rFonts w:ascii="Times New Roman" w:hAnsi="Times New Roman" w:cs="Times New Roman"/>
          <w:kern w:val="24"/>
          <w:sz w:val="24"/>
          <w:szCs w:val="24"/>
        </w:rPr>
        <w:t xml:space="preserve">firms </w:t>
      </w:r>
      <w:r>
        <w:rPr>
          <w:rFonts w:ascii="Times New Roman" w:hAnsi="Times New Roman" w:cs="Times New Roman"/>
          <w:kern w:val="24"/>
          <w:sz w:val="24"/>
          <w:szCs w:val="24"/>
        </w:rPr>
        <w:t xml:space="preserve">to become able to take advantage of </w:t>
      </w:r>
      <w:r w:rsidR="004D0491">
        <w:rPr>
          <w:rFonts w:ascii="Times New Roman" w:hAnsi="Times New Roman" w:cs="Times New Roman"/>
          <w:kern w:val="24"/>
          <w:sz w:val="24"/>
          <w:szCs w:val="24"/>
        </w:rPr>
        <w:t>“company</w:t>
      </w:r>
      <w:r w:rsidR="006D2010">
        <w:rPr>
          <w:rFonts w:ascii="Times New Roman" w:hAnsi="Times New Roman" w:cs="Times New Roman"/>
          <w:kern w:val="24"/>
          <w:sz w:val="24"/>
          <w:szCs w:val="24"/>
        </w:rPr>
        <w:t>-based</w:t>
      </w:r>
      <w:r w:rsidR="004D0491">
        <w:rPr>
          <w:rFonts w:ascii="Times New Roman" w:hAnsi="Times New Roman" w:cs="Times New Roman"/>
          <w:kern w:val="24"/>
          <w:sz w:val="24"/>
          <w:szCs w:val="24"/>
        </w:rPr>
        <w:t>”</w:t>
      </w:r>
      <w:r w:rsidR="006D2010">
        <w:rPr>
          <w:rFonts w:ascii="Times New Roman" w:hAnsi="Times New Roman" w:cs="Times New Roman"/>
          <w:kern w:val="24"/>
          <w:sz w:val="24"/>
          <w:szCs w:val="24"/>
        </w:rPr>
        <w:t xml:space="preserve"> codes (</w:t>
      </w:r>
      <w:r w:rsidR="004D0491">
        <w:rPr>
          <w:rFonts w:ascii="Times New Roman" w:hAnsi="Times New Roman" w:cs="Times New Roman"/>
          <w:kern w:val="24"/>
          <w:sz w:val="24"/>
          <w:szCs w:val="24"/>
        </w:rPr>
        <w:t xml:space="preserve">so named because they are drafted and negotiated </w:t>
      </w:r>
      <w:r w:rsidR="006D2010">
        <w:rPr>
          <w:rFonts w:ascii="Times New Roman" w:hAnsi="Times New Roman" w:cs="Times New Roman"/>
          <w:kern w:val="24"/>
          <w:sz w:val="24"/>
          <w:szCs w:val="24"/>
        </w:rPr>
        <w:t>at the level of the</w:t>
      </w:r>
      <w:r w:rsidR="00FB7524">
        <w:rPr>
          <w:rFonts w:ascii="Times New Roman" w:hAnsi="Times New Roman" w:cs="Times New Roman"/>
          <w:kern w:val="24"/>
          <w:sz w:val="24"/>
          <w:szCs w:val="24"/>
        </w:rPr>
        <w:t xml:space="preserve"> individual company or firm), </w:t>
      </w:r>
      <w:r>
        <w:rPr>
          <w:rFonts w:ascii="Times New Roman" w:hAnsi="Times New Roman" w:cs="Times New Roman"/>
          <w:kern w:val="24"/>
          <w:sz w:val="24"/>
          <w:szCs w:val="24"/>
        </w:rPr>
        <w:t>this would create another large problem—high administrative costs for regulators.</w:t>
      </w:r>
      <w:r w:rsidR="002A4ED0">
        <w:rPr>
          <w:rStyle w:val="FootnoteReference"/>
          <w:rFonts w:ascii="Times New Roman" w:hAnsi="Times New Roman" w:cs="Times New Roman"/>
          <w:kern w:val="24"/>
          <w:sz w:val="24"/>
          <w:szCs w:val="24"/>
        </w:rPr>
        <w:footnoteReference w:id="127"/>
      </w:r>
      <w:r w:rsidR="00B95CC3">
        <w:rPr>
          <w:rFonts w:ascii="Times New Roman" w:hAnsi="Times New Roman" w:cs="Times New Roman"/>
          <w:kern w:val="24"/>
          <w:sz w:val="24"/>
          <w:szCs w:val="24"/>
        </w:rPr>
        <w:t xml:space="preserve"> Data Protection Authorities </w:t>
      </w:r>
      <w:r>
        <w:rPr>
          <w:rFonts w:ascii="Times New Roman" w:hAnsi="Times New Roman" w:cs="Times New Roman"/>
          <w:kern w:val="24"/>
          <w:sz w:val="24"/>
          <w:szCs w:val="24"/>
        </w:rPr>
        <w:t>(in the case of BCRs</w:t>
      </w:r>
      <w:r w:rsidR="00B95CC3">
        <w:rPr>
          <w:rFonts w:ascii="Times New Roman" w:hAnsi="Times New Roman" w:cs="Times New Roman"/>
          <w:kern w:val="24"/>
          <w:sz w:val="24"/>
          <w:szCs w:val="24"/>
        </w:rPr>
        <w:t xml:space="preserve">) and government agencies serving as APEC Accountability Agents </w:t>
      </w:r>
      <w:r>
        <w:rPr>
          <w:rFonts w:ascii="Times New Roman" w:hAnsi="Times New Roman" w:cs="Times New Roman"/>
          <w:kern w:val="24"/>
          <w:sz w:val="24"/>
          <w:szCs w:val="24"/>
        </w:rPr>
        <w:t>would have to review, negotiate and approve an individual code for every company that wanted to engage in an international data transfer.</w:t>
      </w:r>
      <w:r w:rsidR="00B95CC3">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This would </w:t>
      </w:r>
      <w:r w:rsidR="004D0491">
        <w:rPr>
          <w:rFonts w:ascii="Times New Roman" w:hAnsi="Times New Roman" w:cs="Times New Roman"/>
          <w:kern w:val="24"/>
          <w:sz w:val="24"/>
          <w:szCs w:val="24"/>
        </w:rPr>
        <w:t xml:space="preserve">present a significant, possibly </w:t>
      </w:r>
      <w:r>
        <w:rPr>
          <w:rFonts w:ascii="Times New Roman" w:hAnsi="Times New Roman" w:cs="Times New Roman"/>
          <w:kern w:val="24"/>
          <w:sz w:val="24"/>
          <w:szCs w:val="24"/>
        </w:rPr>
        <w:t>insurmountable</w:t>
      </w:r>
      <w:r w:rsidR="004D0491">
        <w:rPr>
          <w:rFonts w:ascii="Times New Roman" w:hAnsi="Times New Roman" w:cs="Times New Roman"/>
          <w:kern w:val="24"/>
          <w:sz w:val="24"/>
          <w:szCs w:val="24"/>
        </w:rPr>
        <w:t>,</w:t>
      </w:r>
      <w:r>
        <w:rPr>
          <w:rFonts w:ascii="Times New Roman" w:hAnsi="Times New Roman" w:cs="Times New Roman"/>
          <w:kern w:val="24"/>
          <w:sz w:val="24"/>
          <w:szCs w:val="24"/>
        </w:rPr>
        <w:t xml:space="preserve"> burden for these resource-strapped </w:t>
      </w:r>
      <w:r w:rsidR="00B95CC3">
        <w:rPr>
          <w:rFonts w:ascii="Times New Roman" w:hAnsi="Times New Roman" w:cs="Times New Roman"/>
          <w:kern w:val="24"/>
          <w:sz w:val="24"/>
          <w:szCs w:val="24"/>
        </w:rPr>
        <w:t>public bodies</w:t>
      </w:r>
      <w:r>
        <w:rPr>
          <w:rFonts w:ascii="Times New Roman" w:hAnsi="Times New Roman" w:cs="Times New Roman"/>
          <w:kern w:val="24"/>
          <w:sz w:val="24"/>
          <w:szCs w:val="24"/>
        </w:rPr>
        <w:t>.</w:t>
      </w:r>
      <w:r w:rsidR="00B95CC3">
        <w:rPr>
          <w:rFonts w:ascii="Times New Roman" w:hAnsi="Times New Roman" w:cs="Times New Roman"/>
          <w:kern w:val="24"/>
          <w:sz w:val="24"/>
          <w:szCs w:val="24"/>
        </w:rPr>
        <w:t xml:space="preserve"> </w:t>
      </w:r>
      <w:r w:rsidR="004D0491">
        <w:rPr>
          <w:rFonts w:ascii="Times New Roman" w:hAnsi="Times New Roman" w:cs="Times New Roman"/>
          <w:kern w:val="24"/>
          <w:sz w:val="24"/>
          <w:szCs w:val="24"/>
        </w:rPr>
        <w:t>The APEC CB</w:t>
      </w:r>
      <w:r w:rsidR="00D54DD2">
        <w:rPr>
          <w:rFonts w:ascii="Times New Roman" w:hAnsi="Times New Roman" w:cs="Times New Roman"/>
          <w:kern w:val="24"/>
          <w:sz w:val="24"/>
          <w:szCs w:val="24"/>
        </w:rPr>
        <w:t>P</w:t>
      </w:r>
      <w:r w:rsidR="004D0491">
        <w:rPr>
          <w:rFonts w:ascii="Times New Roman" w:hAnsi="Times New Roman" w:cs="Times New Roman"/>
          <w:kern w:val="24"/>
          <w:sz w:val="24"/>
          <w:szCs w:val="24"/>
        </w:rPr>
        <w:t>R</w:t>
      </w:r>
      <w:r w:rsidR="00D54DD2">
        <w:rPr>
          <w:rFonts w:ascii="Times New Roman" w:hAnsi="Times New Roman" w:cs="Times New Roman"/>
          <w:kern w:val="24"/>
          <w:sz w:val="24"/>
          <w:szCs w:val="24"/>
        </w:rPr>
        <w:t xml:space="preserve"> program seeks to </w:t>
      </w:r>
      <w:r w:rsidR="00B95CC3">
        <w:rPr>
          <w:rFonts w:ascii="Times New Roman" w:hAnsi="Times New Roman" w:cs="Times New Roman"/>
          <w:kern w:val="24"/>
          <w:sz w:val="24"/>
          <w:szCs w:val="24"/>
        </w:rPr>
        <w:t xml:space="preserve">minimize </w:t>
      </w:r>
      <w:r w:rsidR="00D54DD2">
        <w:rPr>
          <w:rFonts w:ascii="Times New Roman" w:hAnsi="Times New Roman" w:cs="Times New Roman"/>
          <w:kern w:val="24"/>
          <w:sz w:val="24"/>
          <w:szCs w:val="24"/>
        </w:rPr>
        <w:t>this by anointing independent “accountability agents” to review and approve the codes.</w:t>
      </w:r>
      <w:r w:rsidR="00B95CC3">
        <w:rPr>
          <w:rFonts w:ascii="Times New Roman" w:hAnsi="Times New Roman" w:cs="Times New Roman"/>
          <w:kern w:val="24"/>
          <w:sz w:val="24"/>
          <w:szCs w:val="24"/>
        </w:rPr>
        <w:t xml:space="preserve"> </w:t>
      </w:r>
      <w:r w:rsidR="00D54DD2">
        <w:rPr>
          <w:rFonts w:ascii="Times New Roman" w:hAnsi="Times New Roman" w:cs="Times New Roman"/>
          <w:kern w:val="24"/>
          <w:sz w:val="24"/>
          <w:szCs w:val="24"/>
        </w:rPr>
        <w:t>But this has a downside of its own in that</w:t>
      </w:r>
      <w:r w:rsidR="00B95CC3">
        <w:rPr>
          <w:rFonts w:ascii="Times New Roman" w:hAnsi="Times New Roman" w:cs="Times New Roman"/>
          <w:kern w:val="24"/>
          <w:sz w:val="24"/>
          <w:szCs w:val="24"/>
        </w:rPr>
        <w:t>, insofar as</w:t>
      </w:r>
      <w:r w:rsidR="00D54DD2">
        <w:rPr>
          <w:rFonts w:ascii="Times New Roman" w:hAnsi="Times New Roman" w:cs="Times New Roman"/>
          <w:kern w:val="24"/>
          <w:sz w:val="24"/>
          <w:szCs w:val="24"/>
        </w:rPr>
        <w:t xml:space="preserve"> accountability agents </w:t>
      </w:r>
      <w:r w:rsidR="00B95CC3">
        <w:rPr>
          <w:rFonts w:ascii="Times New Roman" w:hAnsi="Times New Roman" w:cs="Times New Roman"/>
          <w:kern w:val="24"/>
          <w:sz w:val="24"/>
          <w:szCs w:val="24"/>
        </w:rPr>
        <w:t xml:space="preserve">are private rather than public entities, they </w:t>
      </w:r>
      <w:r w:rsidR="00D54DD2">
        <w:rPr>
          <w:rFonts w:ascii="Times New Roman" w:hAnsi="Times New Roman" w:cs="Times New Roman"/>
          <w:kern w:val="24"/>
          <w:sz w:val="24"/>
          <w:szCs w:val="24"/>
        </w:rPr>
        <w:t>may not sufficiently protect the public interest.</w:t>
      </w:r>
    </w:p>
    <w:p w:rsidR="00B95CC3" w:rsidRDefault="00B95CC3"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Com</w:t>
      </w:r>
      <w:r w:rsidR="004D0491">
        <w:rPr>
          <w:rFonts w:ascii="Times New Roman" w:hAnsi="Times New Roman" w:cs="Times New Roman"/>
          <w:kern w:val="24"/>
          <w:sz w:val="24"/>
          <w:szCs w:val="24"/>
        </w:rPr>
        <w:t xml:space="preserve">pany-based codes also suffer from another problem; they </w:t>
      </w:r>
      <w:r w:rsidR="006421C7">
        <w:rPr>
          <w:rFonts w:ascii="Times New Roman" w:hAnsi="Times New Roman" w:cs="Times New Roman"/>
          <w:kern w:val="24"/>
          <w:sz w:val="24"/>
          <w:szCs w:val="24"/>
        </w:rPr>
        <w:t>frustrate</w:t>
      </w:r>
      <w:r w:rsidR="00FB4E4F">
        <w:rPr>
          <w:rFonts w:ascii="Times New Roman" w:hAnsi="Times New Roman" w:cs="Times New Roman"/>
          <w:kern w:val="24"/>
          <w:sz w:val="24"/>
          <w:szCs w:val="24"/>
        </w:rPr>
        <w:t xml:space="preserve"> pub</w:t>
      </w:r>
      <w:r w:rsidR="006421C7">
        <w:rPr>
          <w:rFonts w:ascii="Times New Roman" w:hAnsi="Times New Roman" w:cs="Times New Roman"/>
          <w:kern w:val="24"/>
          <w:sz w:val="24"/>
          <w:szCs w:val="24"/>
        </w:rPr>
        <w:t xml:space="preserve">lic participation and </w:t>
      </w:r>
      <w:r w:rsidR="00DF1F72">
        <w:rPr>
          <w:rFonts w:ascii="Times New Roman" w:hAnsi="Times New Roman" w:cs="Times New Roman"/>
          <w:kern w:val="24"/>
          <w:sz w:val="24"/>
          <w:szCs w:val="24"/>
        </w:rPr>
        <w:t xml:space="preserve">so </w:t>
      </w:r>
      <w:r w:rsidR="006421C7">
        <w:rPr>
          <w:rFonts w:ascii="Times New Roman" w:hAnsi="Times New Roman" w:cs="Times New Roman"/>
          <w:kern w:val="24"/>
          <w:sz w:val="24"/>
          <w:szCs w:val="24"/>
        </w:rPr>
        <w:t>reduce</w:t>
      </w:r>
      <w:r w:rsidR="00FB4E4F">
        <w:rPr>
          <w:rFonts w:ascii="Times New Roman" w:hAnsi="Times New Roman" w:cs="Times New Roman"/>
          <w:kern w:val="24"/>
          <w:sz w:val="24"/>
          <w:szCs w:val="24"/>
        </w:rPr>
        <w:t xml:space="preserve"> accountability.</w:t>
      </w:r>
      <w:r>
        <w:rPr>
          <w:rFonts w:ascii="Times New Roman" w:hAnsi="Times New Roman" w:cs="Times New Roman"/>
          <w:kern w:val="24"/>
          <w:sz w:val="24"/>
          <w:szCs w:val="24"/>
        </w:rPr>
        <w:t xml:space="preserve"> </w:t>
      </w:r>
      <w:r w:rsidR="00FB4E4F">
        <w:rPr>
          <w:rFonts w:ascii="Times New Roman" w:hAnsi="Times New Roman" w:cs="Times New Roman"/>
          <w:kern w:val="24"/>
          <w:sz w:val="24"/>
          <w:szCs w:val="24"/>
        </w:rPr>
        <w:t xml:space="preserve">Privacy NGOs </w:t>
      </w:r>
      <w:r w:rsidR="006421C7">
        <w:rPr>
          <w:rFonts w:ascii="Times New Roman" w:hAnsi="Times New Roman" w:cs="Times New Roman"/>
          <w:kern w:val="24"/>
          <w:sz w:val="24"/>
          <w:szCs w:val="24"/>
        </w:rPr>
        <w:t xml:space="preserve">have even fewer </w:t>
      </w:r>
      <w:r w:rsidR="00FB4E4F">
        <w:rPr>
          <w:rFonts w:ascii="Times New Roman" w:hAnsi="Times New Roman" w:cs="Times New Roman"/>
          <w:kern w:val="24"/>
          <w:sz w:val="24"/>
          <w:szCs w:val="24"/>
        </w:rPr>
        <w:t>resources than regulatory agencies.</w:t>
      </w:r>
      <w:r>
        <w:rPr>
          <w:rFonts w:ascii="Times New Roman" w:hAnsi="Times New Roman" w:cs="Times New Roman"/>
          <w:kern w:val="24"/>
          <w:sz w:val="24"/>
          <w:szCs w:val="24"/>
        </w:rPr>
        <w:t xml:space="preserve"> </w:t>
      </w:r>
      <w:r w:rsidR="00FB4E4F">
        <w:rPr>
          <w:rFonts w:ascii="Times New Roman" w:hAnsi="Times New Roman" w:cs="Times New Roman"/>
          <w:kern w:val="24"/>
          <w:sz w:val="24"/>
          <w:szCs w:val="24"/>
        </w:rPr>
        <w:t xml:space="preserve">If a significant number of companies </w:t>
      </w:r>
      <w:r w:rsidR="00DF1F72">
        <w:rPr>
          <w:rFonts w:ascii="Times New Roman" w:hAnsi="Times New Roman" w:cs="Times New Roman"/>
          <w:kern w:val="24"/>
          <w:sz w:val="24"/>
          <w:szCs w:val="24"/>
        </w:rPr>
        <w:t xml:space="preserve">were to </w:t>
      </w:r>
      <w:r>
        <w:rPr>
          <w:rFonts w:ascii="Times New Roman" w:hAnsi="Times New Roman" w:cs="Times New Roman"/>
          <w:kern w:val="24"/>
          <w:sz w:val="24"/>
          <w:szCs w:val="24"/>
        </w:rPr>
        <w:t xml:space="preserve">submit codes for the BCR </w:t>
      </w:r>
      <w:proofErr w:type="gramStart"/>
      <w:r>
        <w:rPr>
          <w:rFonts w:ascii="Times New Roman" w:hAnsi="Times New Roman" w:cs="Times New Roman"/>
          <w:kern w:val="24"/>
          <w:sz w:val="24"/>
          <w:szCs w:val="24"/>
        </w:rPr>
        <w:t xml:space="preserve">or </w:t>
      </w:r>
      <w:r w:rsidR="00FB4E4F">
        <w:rPr>
          <w:rFonts w:ascii="Times New Roman" w:hAnsi="Times New Roman" w:cs="Times New Roman"/>
          <w:kern w:val="24"/>
          <w:sz w:val="24"/>
          <w:szCs w:val="24"/>
        </w:rPr>
        <w:t xml:space="preserve"> CBPR</w:t>
      </w:r>
      <w:proofErr w:type="gramEnd"/>
      <w:r w:rsidR="00FB4E4F">
        <w:rPr>
          <w:rFonts w:ascii="Times New Roman" w:hAnsi="Times New Roman" w:cs="Times New Roman"/>
          <w:kern w:val="24"/>
          <w:sz w:val="24"/>
          <w:szCs w:val="24"/>
        </w:rPr>
        <w:t xml:space="preserve"> </w:t>
      </w:r>
      <w:r>
        <w:rPr>
          <w:rFonts w:ascii="Times New Roman" w:hAnsi="Times New Roman" w:cs="Times New Roman"/>
          <w:kern w:val="24"/>
          <w:sz w:val="24"/>
          <w:szCs w:val="24"/>
        </w:rPr>
        <w:t>programs, or to self-certify compliance with a code under the Safe Harbor program</w:t>
      </w:r>
      <w:r w:rsidR="00FB4E4F">
        <w:rPr>
          <w:rFonts w:ascii="Times New Roman" w:hAnsi="Times New Roman" w:cs="Times New Roman"/>
          <w:kern w:val="24"/>
          <w:sz w:val="24"/>
          <w:szCs w:val="24"/>
        </w:rPr>
        <w:t xml:space="preserve">, </w:t>
      </w:r>
      <w:r w:rsidR="00FB4E4F">
        <w:rPr>
          <w:rFonts w:ascii="Times New Roman" w:hAnsi="Times New Roman" w:cs="Times New Roman"/>
          <w:kern w:val="24"/>
          <w:sz w:val="24"/>
          <w:szCs w:val="24"/>
        </w:rPr>
        <w:lastRenderedPageBreak/>
        <w:t xml:space="preserve">stakeholders </w:t>
      </w:r>
      <w:r w:rsidR="00DF1F72">
        <w:rPr>
          <w:rFonts w:ascii="Times New Roman" w:hAnsi="Times New Roman" w:cs="Times New Roman"/>
          <w:kern w:val="24"/>
          <w:sz w:val="24"/>
          <w:szCs w:val="24"/>
        </w:rPr>
        <w:t xml:space="preserve">would lack </w:t>
      </w:r>
      <w:r w:rsidR="00FB4E4F">
        <w:rPr>
          <w:rFonts w:ascii="Times New Roman" w:hAnsi="Times New Roman" w:cs="Times New Roman"/>
          <w:kern w:val="24"/>
          <w:sz w:val="24"/>
          <w:szCs w:val="24"/>
        </w:rPr>
        <w:t xml:space="preserve">the resources to </w:t>
      </w:r>
      <w:r w:rsidR="006421C7">
        <w:rPr>
          <w:rFonts w:ascii="Times New Roman" w:hAnsi="Times New Roman" w:cs="Times New Roman"/>
          <w:kern w:val="24"/>
          <w:sz w:val="24"/>
          <w:szCs w:val="24"/>
        </w:rPr>
        <w:t xml:space="preserve">keep track of, much less participate in, </w:t>
      </w:r>
      <w:r w:rsidR="00FB4E4F">
        <w:rPr>
          <w:rFonts w:ascii="Times New Roman" w:hAnsi="Times New Roman" w:cs="Times New Roman"/>
          <w:kern w:val="24"/>
          <w:sz w:val="24"/>
          <w:szCs w:val="24"/>
        </w:rPr>
        <w:t>the many submissions, negotiations and approvals.</w:t>
      </w:r>
      <w:r w:rsidR="009B27CD">
        <w:rPr>
          <w:rStyle w:val="FootnoteReference"/>
          <w:rFonts w:ascii="Times New Roman" w:hAnsi="Times New Roman" w:cs="Times New Roman"/>
          <w:kern w:val="24"/>
          <w:sz w:val="24"/>
          <w:szCs w:val="24"/>
        </w:rPr>
        <w:footnoteReference w:id="128"/>
      </w:r>
      <w:r>
        <w:rPr>
          <w:rFonts w:ascii="Times New Roman" w:hAnsi="Times New Roman" w:cs="Times New Roman"/>
          <w:kern w:val="24"/>
          <w:sz w:val="24"/>
          <w:szCs w:val="24"/>
        </w:rPr>
        <w:t xml:space="preserve"> </w:t>
      </w:r>
      <w:r w:rsidR="006421C7">
        <w:rPr>
          <w:rFonts w:ascii="Times New Roman" w:hAnsi="Times New Roman" w:cs="Times New Roman"/>
          <w:kern w:val="24"/>
          <w:sz w:val="24"/>
          <w:szCs w:val="24"/>
        </w:rPr>
        <w:t>Company-specific codes will escape public scrutiny by overwhelming it</w:t>
      </w:r>
      <w:r w:rsidR="004D0491">
        <w:rPr>
          <w:rFonts w:ascii="Times New Roman" w:hAnsi="Times New Roman" w:cs="Times New Roman"/>
          <w:kern w:val="24"/>
          <w:sz w:val="24"/>
          <w:szCs w:val="24"/>
        </w:rPr>
        <w:t xml:space="preserve"> with sheer numbers</w:t>
      </w:r>
      <w:r w:rsidR="006421C7">
        <w:rPr>
          <w:rFonts w:ascii="Times New Roman" w:hAnsi="Times New Roman" w:cs="Times New Roman"/>
          <w:kern w:val="24"/>
          <w:sz w:val="24"/>
          <w:szCs w:val="24"/>
        </w:rPr>
        <w:t>.</w:t>
      </w:r>
    </w:p>
    <w:p w:rsidR="004D0491" w:rsidRDefault="006421C7"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Of course, it may </w:t>
      </w:r>
      <w:r w:rsidR="004D0491">
        <w:rPr>
          <w:rFonts w:ascii="Times New Roman" w:hAnsi="Times New Roman" w:cs="Times New Roman"/>
          <w:kern w:val="24"/>
          <w:sz w:val="24"/>
          <w:szCs w:val="24"/>
        </w:rPr>
        <w:t xml:space="preserve">turn out </w:t>
      </w:r>
      <w:r>
        <w:rPr>
          <w:rFonts w:ascii="Times New Roman" w:hAnsi="Times New Roman" w:cs="Times New Roman"/>
          <w:kern w:val="24"/>
          <w:sz w:val="24"/>
          <w:szCs w:val="24"/>
        </w:rPr>
        <w:t xml:space="preserve">that only a small number of companies </w:t>
      </w:r>
      <w:r w:rsidR="00B95CC3">
        <w:rPr>
          <w:rFonts w:ascii="Times New Roman" w:hAnsi="Times New Roman" w:cs="Times New Roman"/>
          <w:kern w:val="24"/>
          <w:sz w:val="24"/>
          <w:szCs w:val="24"/>
        </w:rPr>
        <w:t xml:space="preserve">have the resources and </w:t>
      </w:r>
      <w:r w:rsidR="00DF1F72">
        <w:rPr>
          <w:rFonts w:ascii="Times New Roman" w:hAnsi="Times New Roman" w:cs="Times New Roman"/>
          <w:kern w:val="24"/>
          <w:sz w:val="24"/>
          <w:szCs w:val="24"/>
        </w:rPr>
        <w:t xml:space="preserve">sophistication to </w:t>
      </w:r>
      <w:r>
        <w:rPr>
          <w:rFonts w:ascii="Times New Roman" w:hAnsi="Times New Roman" w:cs="Times New Roman"/>
          <w:kern w:val="24"/>
          <w:sz w:val="24"/>
          <w:szCs w:val="24"/>
        </w:rPr>
        <w:t>establish firm-based, cross-border rules.</w:t>
      </w:r>
      <w:r w:rsidR="00B95CC3">
        <w:rPr>
          <w:rFonts w:ascii="Times New Roman" w:hAnsi="Times New Roman" w:cs="Times New Roman"/>
          <w:kern w:val="24"/>
          <w:sz w:val="24"/>
          <w:szCs w:val="24"/>
        </w:rPr>
        <w:t xml:space="preserve"> </w:t>
      </w:r>
      <w:r w:rsidR="00DF1F72">
        <w:rPr>
          <w:rFonts w:ascii="Times New Roman" w:hAnsi="Times New Roman" w:cs="Times New Roman"/>
          <w:kern w:val="24"/>
          <w:sz w:val="24"/>
          <w:szCs w:val="24"/>
        </w:rPr>
        <w:t xml:space="preserve">If so, </w:t>
      </w:r>
      <w:r w:rsidR="004D0491">
        <w:rPr>
          <w:rFonts w:ascii="Times New Roman" w:hAnsi="Times New Roman" w:cs="Times New Roman"/>
          <w:kern w:val="24"/>
          <w:sz w:val="24"/>
          <w:szCs w:val="24"/>
        </w:rPr>
        <w:t xml:space="preserve">then </w:t>
      </w:r>
      <w:r>
        <w:rPr>
          <w:rFonts w:ascii="Times New Roman" w:hAnsi="Times New Roman" w:cs="Times New Roman"/>
          <w:kern w:val="24"/>
          <w:sz w:val="24"/>
          <w:szCs w:val="24"/>
        </w:rPr>
        <w:t>regulators and stakeholders</w:t>
      </w:r>
      <w:r w:rsidR="004D0491">
        <w:rPr>
          <w:rFonts w:ascii="Times New Roman" w:hAnsi="Times New Roman" w:cs="Times New Roman"/>
          <w:kern w:val="24"/>
          <w:sz w:val="24"/>
          <w:szCs w:val="24"/>
        </w:rPr>
        <w:t xml:space="preserve"> may be able to manage supervision of these codes</w:t>
      </w:r>
      <w:r>
        <w:rPr>
          <w:rFonts w:ascii="Times New Roman" w:hAnsi="Times New Roman" w:cs="Times New Roman"/>
          <w:kern w:val="24"/>
          <w:sz w:val="24"/>
          <w:szCs w:val="24"/>
        </w:rPr>
        <w:t>.</w:t>
      </w:r>
      <w:r w:rsidR="00B95CC3">
        <w:rPr>
          <w:rFonts w:ascii="Times New Roman" w:hAnsi="Times New Roman" w:cs="Times New Roman"/>
          <w:kern w:val="24"/>
          <w:sz w:val="24"/>
          <w:szCs w:val="24"/>
        </w:rPr>
        <w:t xml:space="preserve"> </w:t>
      </w:r>
      <w:r w:rsidR="004D0491">
        <w:rPr>
          <w:rFonts w:ascii="Times New Roman" w:hAnsi="Times New Roman" w:cs="Times New Roman"/>
          <w:kern w:val="24"/>
          <w:sz w:val="24"/>
          <w:szCs w:val="24"/>
        </w:rPr>
        <w:t xml:space="preserve">But the small number of participating companies will </w:t>
      </w:r>
      <w:r>
        <w:rPr>
          <w:rFonts w:ascii="Times New Roman" w:hAnsi="Times New Roman" w:cs="Times New Roman"/>
          <w:kern w:val="24"/>
          <w:sz w:val="24"/>
          <w:szCs w:val="24"/>
        </w:rPr>
        <w:t xml:space="preserve">exacerbate the first problem identified – </w:t>
      </w:r>
      <w:r w:rsidR="004D0491">
        <w:rPr>
          <w:rFonts w:ascii="Times New Roman" w:hAnsi="Times New Roman" w:cs="Times New Roman"/>
          <w:kern w:val="24"/>
          <w:sz w:val="24"/>
          <w:szCs w:val="24"/>
        </w:rPr>
        <w:t xml:space="preserve">the </w:t>
      </w:r>
      <w:r>
        <w:rPr>
          <w:rFonts w:ascii="Times New Roman" w:hAnsi="Times New Roman" w:cs="Times New Roman"/>
          <w:kern w:val="24"/>
          <w:sz w:val="24"/>
          <w:szCs w:val="24"/>
        </w:rPr>
        <w:t>uneven playing field</w:t>
      </w:r>
      <w:r w:rsidR="004D0491">
        <w:rPr>
          <w:rFonts w:ascii="Times New Roman" w:hAnsi="Times New Roman" w:cs="Times New Roman"/>
          <w:kern w:val="24"/>
          <w:sz w:val="24"/>
          <w:szCs w:val="24"/>
        </w:rPr>
        <w:t xml:space="preserve"> between those large companies that are able to draft and negotiate their own set of cross-border privacy rules, and the small and medium -sized enterprises that lack the resources and expertise to do so</w:t>
      </w:r>
      <w:r>
        <w:rPr>
          <w:rFonts w:ascii="Times New Roman" w:hAnsi="Times New Roman" w:cs="Times New Roman"/>
          <w:kern w:val="24"/>
          <w:sz w:val="24"/>
          <w:szCs w:val="24"/>
        </w:rPr>
        <w:t>.</w:t>
      </w:r>
      <w:r w:rsidR="00B95CC3">
        <w:rPr>
          <w:rFonts w:ascii="Times New Roman" w:hAnsi="Times New Roman" w:cs="Times New Roman"/>
          <w:kern w:val="24"/>
          <w:sz w:val="24"/>
          <w:szCs w:val="24"/>
        </w:rPr>
        <w:t xml:space="preserve"> </w:t>
      </w:r>
      <w:r w:rsidR="004D0491">
        <w:rPr>
          <w:rFonts w:ascii="Times New Roman" w:hAnsi="Times New Roman" w:cs="Times New Roman"/>
          <w:kern w:val="24"/>
          <w:sz w:val="24"/>
          <w:szCs w:val="24"/>
        </w:rPr>
        <w:t>This will hurt the very start-up and emerging companies on which the information economy depends for innovation.</w:t>
      </w:r>
    </w:p>
    <w:p w:rsidR="00AE54F4" w:rsidRDefault="00DF1F72"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Before leaving this topic it is important to note that, while the Safe Harbor program allows individual companies to </w:t>
      </w:r>
      <w:r w:rsidR="00B95CC3">
        <w:rPr>
          <w:rFonts w:ascii="Times New Roman" w:hAnsi="Times New Roman" w:cs="Times New Roman"/>
          <w:kern w:val="24"/>
          <w:sz w:val="24"/>
          <w:szCs w:val="24"/>
        </w:rPr>
        <w:t>develop privacy codes</w:t>
      </w:r>
      <w:r>
        <w:rPr>
          <w:rFonts w:ascii="Times New Roman" w:hAnsi="Times New Roman" w:cs="Times New Roman"/>
          <w:kern w:val="24"/>
          <w:sz w:val="24"/>
          <w:szCs w:val="24"/>
        </w:rPr>
        <w:t xml:space="preserve">, it also allows </w:t>
      </w:r>
      <w:r w:rsidR="00B95CC3">
        <w:rPr>
          <w:rFonts w:ascii="Times New Roman" w:hAnsi="Times New Roman" w:cs="Times New Roman"/>
          <w:kern w:val="24"/>
          <w:sz w:val="24"/>
          <w:szCs w:val="24"/>
        </w:rPr>
        <w:t xml:space="preserve">self-regulatory privacy programs </w:t>
      </w:r>
      <w:r>
        <w:rPr>
          <w:rFonts w:ascii="Times New Roman" w:hAnsi="Times New Roman" w:cs="Times New Roman"/>
          <w:kern w:val="24"/>
          <w:sz w:val="24"/>
          <w:szCs w:val="24"/>
        </w:rPr>
        <w:t>to do so.</w:t>
      </w:r>
      <w:r w:rsidR="00B95CC3">
        <w:rPr>
          <w:rStyle w:val="FootnoteReference"/>
          <w:rFonts w:ascii="Times New Roman" w:hAnsi="Times New Roman" w:cs="Times New Roman"/>
          <w:kern w:val="24"/>
          <w:sz w:val="24"/>
          <w:szCs w:val="24"/>
        </w:rPr>
        <w:footnoteReference w:id="129"/>
      </w:r>
      <w:r w:rsidR="00B95CC3">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This could allow many companies to come together under the banner of a single safe harbor organization such as </w:t>
      </w:r>
      <w:proofErr w:type="spellStart"/>
      <w:r>
        <w:rPr>
          <w:rFonts w:ascii="Times New Roman" w:hAnsi="Times New Roman" w:cs="Times New Roman"/>
          <w:kern w:val="24"/>
          <w:sz w:val="24"/>
          <w:szCs w:val="24"/>
        </w:rPr>
        <w:t>TRUSTe</w:t>
      </w:r>
      <w:proofErr w:type="spellEnd"/>
      <w:r>
        <w:rPr>
          <w:rFonts w:ascii="Times New Roman" w:hAnsi="Times New Roman" w:cs="Times New Roman"/>
          <w:kern w:val="24"/>
          <w:sz w:val="24"/>
          <w:szCs w:val="24"/>
        </w:rPr>
        <w:t>, and so reduce the resource and administrative burdens associated with code drafting and approval.</w:t>
      </w:r>
      <w:r w:rsidR="00B95CC3">
        <w:rPr>
          <w:rFonts w:ascii="Times New Roman" w:hAnsi="Times New Roman" w:cs="Times New Roman"/>
          <w:kern w:val="24"/>
          <w:sz w:val="24"/>
          <w:szCs w:val="24"/>
        </w:rPr>
        <w:t xml:space="preserve"> </w:t>
      </w:r>
      <w:r w:rsidR="00EC37A7">
        <w:rPr>
          <w:rFonts w:ascii="Times New Roman" w:hAnsi="Times New Roman" w:cs="Times New Roman"/>
          <w:kern w:val="24"/>
          <w:sz w:val="24"/>
          <w:szCs w:val="24"/>
        </w:rPr>
        <w:t xml:space="preserve">This </w:t>
      </w:r>
      <w:r w:rsidR="004D0491">
        <w:rPr>
          <w:rFonts w:ascii="Times New Roman" w:hAnsi="Times New Roman" w:cs="Times New Roman"/>
          <w:kern w:val="24"/>
          <w:sz w:val="24"/>
          <w:szCs w:val="24"/>
        </w:rPr>
        <w:t>“</w:t>
      </w:r>
      <w:r w:rsidR="00EC37A7">
        <w:rPr>
          <w:rFonts w:ascii="Times New Roman" w:hAnsi="Times New Roman" w:cs="Times New Roman"/>
          <w:kern w:val="24"/>
          <w:sz w:val="24"/>
          <w:szCs w:val="24"/>
        </w:rPr>
        <w:t>economy-wide</w:t>
      </w:r>
      <w:r w:rsidR="004D0491">
        <w:rPr>
          <w:rFonts w:ascii="Times New Roman" w:hAnsi="Times New Roman" w:cs="Times New Roman"/>
          <w:kern w:val="24"/>
          <w:sz w:val="24"/>
          <w:szCs w:val="24"/>
        </w:rPr>
        <w:t>”</w:t>
      </w:r>
      <w:r w:rsidR="00EC37A7">
        <w:rPr>
          <w:rFonts w:ascii="Times New Roman" w:hAnsi="Times New Roman" w:cs="Times New Roman"/>
          <w:kern w:val="24"/>
          <w:sz w:val="24"/>
          <w:szCs w:val="24"/>
        </w:rPr>
        <w:t xml:space="preserve"> approach to cross-border codes (so named because safe harbor organizations, eager for members, are generally open to companies from an</w:t>
      </w:r>
      <w:r w:rsidR="00CE6F66">
        <w:rPr>
          <w:rFonts w:ascii="Times New Roman" w:hAnsi="Times New Roman" w:cs="Times New Roman"/>
          <w:kern w:val="24"/>
          <w:sz w:val="24"/>
          <w:szCs w:val="24"/>
        </w:rPr>
        <w:t>y sector of the economy) mitigates</w:t>
      </w:r>
      <w:r w:rsidR="00EC37A7">
        <w:rPr>
          <w:rFonts w:ascii="Times New Roman" w:hAnsi="Times New Roman" w:cs="Times New Roman"/>
          <w:kern w:val="24"/>
          <w:sz w:val="24"/>
          <w:szCs w:val="24"/>
        </w:rPr>
        <w:t xml:space="preserve"> one set of problems, but replaces it with another.</w:t>
      </w:r>
      <w:r w:rsidR="00B95CC3">
        <w:rPr>
          <w:rFonts w:ascii="Times New Roman" w:hAnsi="Times New Roman" w:cs="Times New Roman"/>
          <w:kern w:val="24"/>
          <w:sz w:val="24"/>
          <w:szCs w:val="24"/>
        </w:rPr>
        <w:t xml:space="preserve"> </w:t>
      </w:r>
      <w:r w:rsidR="0047224C">
        <w:rPr>
          <w:rFonts w:ascii="Times New Roman" w:hAnsi="Times New Roman" w:cs="Times New Roman"/>
          <w:kern w:val="24"/>
          <w:sz w:val="24"/>
          <w:szCs w:val="24"/>
        </w:rPr>
        <w:t>As regulatory theorists have explained,</w:t>
      </w:r>
      <w:r w:rsidR="0047224C">
        <w:rPr>
          <w:rStyle w:val="FootnoteReference"/>
          <w:rFonts w:ascii="Times New Roman" w:hAnsi="Times New Roman" w:cs="Times New Roman"/>
          <w:kern w:val="24"/>
          <w:sz w:val="24"/>
          <w:szCs w:val="24"/>
        </w:rPr>
        <w:footnoteReference w:id="130"/>
      </w:r>
      <w:r w:rsidR="00AB0ED5">
        <w:rPr>
          <w:rFonts w:ascii="Times New Roman" w:hAnsi="Times New Roman" w:cs="Times New Roman"/>
          <w:kern w:val="24"/>
          <w:sz w:val="24"/>
          <w:szCs w:val="24"/>
        </w:rPr>
        <w:t xml:space="preserve"> </w:t>
      </w:r>
      <w:r w:rsidR="00474635">
        <w:rPr>
          <w:rFonts w:ascii="Times New Roman" w:hAnsi="Times New Roman" w:cs="Times New Roman"/>
          <w:kern w:val="24"/>
          <w:sz w:val="24"/>
          <w:szCs w:val="24"/>
        </w:rPr>
        <w:t>the principal virtue</w:t>
      </w:r>
      <w:r w:rsidR="00AB0ED5">
        <w:rPr>
          <w:rFonts w:ascii="Times New Roman" w:hAnsi="Times New Roman" w:cs="Times New Roman"/>
          <w:kern w:val="24"/>
          <w:sz w:val="24"/>
          <w:szCs w:val="24"/>
        </w:rPr>
        <w:t xml:space="preserve"> of industry-drafted codes of conduct is that they are able to tap into private sector knowledge and produce rules that are tailored to the realities of the business world.</w:t>
      </w:r>
      <w:r w:rsidR="00B95CC3">
        <w:rPr>
          <w:rFonts w:ascii="Times New Roman" w:hAnsi="Times New Roman" w:cs="Times New Roman"/>
          <w:kern w:val="24"/>
          <w:sz w:val="24"/>
          <w:szCs w:val="24"/>
        </w:rPr>
        <w:t xml:space="preserve"> </w:t>
      </w:r>
      <w:r w:rsidR="000565C6">
        <w:rPr>
          <w:rFonts w:ascii="Times New Roman" w:hAnsi="Times New Roman" w:cs="Times New Roman"/>
          <w:kern w:val="24"/>
          <w:sz w:val="24"/>
          <w:szCs w:val="24"/>
        </w:rPr>
        <w:t xml:space="preserve">When a company or trade association that represents a particular sector drafts a code, </w:t>
      </w:r>
      <w:r w:rsidR="00AE54F4">
        <w:rPr>
          <w:rFonts w:ascii="Times New Roman" w:hAnsi="Times New Roman" w:cs="Times New Roman"/>
          <w:kern w:val="24"/>
          <w:sz w:val="24"/>
          <w:szCs w:val="24"/>
        </w:rPr>
        <w:t xml:space="preserve">it generally achieves this benefit.  </w:t>
      </w:r>
      <w:r w:rsidR="000565C6">
        <w:rPr>
          <w:rFonts w:ascii="Times New Roman" w:hAnsi="Times New Roman" w:cs="Times New Roman"/>
          <w:kern w:val="24"/>
          <w:sz w:val="24"/>
          <w:szCs w:val="24"/>
        </w:rPr>
        <w:t xml:space="preserve">Companies and </w:t>
      </w:r>
      <w:r w:rsidR="000565C6">
        <w:rPr>
          <w:rFonts w:ascii="Times New Roman" w:hAnsi="Times New Roman" w:cs="Times New Roman"/>
          <w:kern w:val="24"/>
          <w:sz w:val="24"/>
          <w:szCs w:val="24"/>
        </w:rPr>
        <w:lastRenderedPageBreak/>
        <w:t xml:space="preserve">sectors have particular realities that characterize them, and the drafters can tailor a code to address them. </w:t>
      </w:r>
      <w:r w:rsidR="00AE54F4">
        <w:rPr>
          <w:rFonts w:ascii="Times New Roman" w:hAnsi="Times New Roman" w:cs="Times New Roman"/>
          <w:kern w:val="24"/>
          <w:sz w:val="24"/>
          <w:szCs w:val="24"/>
        </w:rPr>
        <w:t>By contrast, w</w:t>
      </w:r>
      <w:r w:rsidR="000565C6">
        <w:rPr>
          <w:rFonts w:ascii="Times New Roman" w:hAnsi="Times New Roman" w:cs="Times New Roman"/>
          <w:kern w:val="24"/>
          <w:sz w:val="24"/>
          <w:szCs w:val="24"/>
        </w:rPr>
        <w:t xml:space="preserve">hen a safe harbor organization or other such entity drafts an </w:t>
      </w:r>
      <w:r w:rsidR="00AB0ED5" w:rsidRPr="000565C6">
        <w:rPr>
          <w:rFonts w:ascii="Times New Roman" w:hAnsi="Times New Roman" w:cs="Times New Roman"/>
          <w:i/>
          <w:kern w:val="24"/>
          <w:sz w:val="24"/>
          <w:szCs w:val="24"/>
        </w:rPr>
        <w:t>economy-wide</w:t>
      </w:r>
      <w:r w:rsidR="00AB0ED5">
        <w:rPr>
          <w:rFonts w:ascii="Times New Roman" w:hAnsi="Times New Roman" w:cs="Times New Roman"/>
          <w:kern w:val="24"/>
          <w:sz w:val="24"/>
          <w:szCs w:val="24"/>
        </w:rPr>
        <w:t xml:space="preserve"> code that is open to companies from all different sectors</w:t>
      </w:r>
      <w:r w:rsidR="000565C6">
        <w:rPr>
          <w:rFonts w:ascii="Times New Roman" w:hAnsi="Times New Roman" w:cs="Times New Roman"/>
          <w:kern w:val="24"/>
          <w:sz w:val="24"/>
          <w:szCs w:val="24"/>
        </w:rPr>
        <w:t>, it is not able to tailor it to particular realities</w:t>
      </w:r>
      <w:r w:rsidR="00AE54F4">
        <w:rPr>
          <w:rFonts w:ascii="Times New Roman" w:hAnsi="Times New Roman" w:cs="Times New Roman"/>
          <w:kern w:val="24"/>
          <w:sz w:val="24"/>
          <w:szCs w:val="24"/>
        </w:rPr>
        <w:t xml:space="preserve">. </w:t>
      </w:r>
      <w:r w:rsidR="000565C6">
        <w:rPr>
          <w:rFonts w:ascii="Times New Roman" w:hAnsi="Times New Roman" w:cs="Times New Roman"/>
          <w:kern w:val="24"/>
          <w:sz w:val="24"/>
          <w:szCs w:val="24"/>
        </w:rPr>
        <w:t>Such codes must</w:t>
      </w:r>
      <w:r w:rsidR="00AB0ED5">
        <w:rPr>
          <w:rFonts w:ascii="Times New Roman" w:hAnsi="Times New Roman" w:cs="Times New Roman"/>
          <w:kern w:val="24"/>
          <w:sz w:val="24"/>
          <w:szCs w:val="24"/>
        </w:rPr>
        <w:t xml:space="preserve">, necessarily, </w:t>
      </w:r>
      <w:r w:rsidR="000565C6">
        <w:rPr>
          <w:rFonts w:ascii="Times New Roman" w:hAnsi="Times New Roman" w:cs="Times New Roman"/>
          <w:kern w:val="24"/>
          <w:sz w:val="24"/>
          <w:szCs w:val="24"/>
        </w:rPr>
        <w:t xml:space="preserve">remain </w:t>
      </w:r>
      <w:r w:rsidR="00AB0ED5">
        <w:rPr>
          <w:rFonts w:ascii="Times New Roman" w:hAnsi="Times New Roman" w:cs="Times New Roman"/>
          <w:kern w:val="24"/>
          <w:sz w:val="24"/>
          <w:szCs w:val="24"/>
        </w:rPr>
        <w:t xml:space="preserve">broad enough to encompass </w:t>
      </w:r>
      <w:r w:rsidR="006A7840">
        <w:rPr>
          <w:rFonts w:ascii="Times New Roman" w:hAnsi="Times New Roman" w:cs="Times New Roman"/>
          <w:kern w:val="24"/>
          <w:sz w:val="24"/>
          <w:szCs w:val="24"/>
        </w:rPr>
        <w:t xml:space="preserve">firms </w:t>
      </w:r>
      <w:r w:rsidR="000565C6">
        <w:rPr>
          <w:rFonts w:ascii="Times New Roman" w:hAnsi="Times New Roman" w:cs="Times New Roman"/>
          <w:kern w:val="24"/>
          <w:sz w:val="24"/>
          <w:szCs w:val="24"/>
        </w:rPr>
        <w:t xml:space="preserve">from many different lines of business that have divergent </w:t>
      </w:r>
      <w:r w:rsidR="00AB0ED5">
        <w:rPr>
          <w:rFonts w:ascii="Times New Roman" w:hAnsi="Times New Roman" w:cs="Times New Roman"/>
          <w:kern w:val="24"/>
          <w:sz w:val="24"/>
          <w:szCs w:val="24"/>
        </w:rPr>
        <w:t>characteristics.</w:t>
      </w:r>
      <w:r w:rsidR="00AE54F4">
        <w:rPr>
          <w:rFonts w:ascii="Times New Roman" w:hAnsi="Times New Roman" w:cs="Times New Roman"/>
          <w:kern w:val="24"/>
          <w:sz w:val="24"/>
          <w:szCs w:val="24"/>
        </w:rPr>
        <w:t xml:space="preserve"> </w:t>
      </w:r>
      <w:r w:rsidR="00C7337A">
        <w:rPr>
          <w:rFonts w:ascii="Times New Roman" w:hAnsi="Times New Roman" w:cs="Times New Roman"/>
          <w:kern w:val="24"/>
          <w:sz w:val="24"/>
          <w:szCs w:val="24"/>
        </w:rPr>
        <w:t xml:space="preserve">Such codes will therefore </w:t>
      </w:r>
      <w:r w:rsidR="006A7840">
        <w:rPr>
          <w:rFonts w:ascii="Times New Roman" w:hAnsi="Times New Roman" w:cs="Times New Roman"/>
          <w:kern w:val="24"/>
          <w:sz w:val="24"/>
          <w:szCs w:val="24"/>
        </w:rPr>
        <w:t>fail to take advantage of the principal attribute of codes of conduct and the main reason why policymaker</w:t>
      </w:r>
      <w:r w:rsidR="000565C6">
        <w:rPr>
          <w:rFonts w:ascii="Times New Roman" w:hAnsi="Times New Roman" w:cs="Times New Roman"/>
          <w:kern w:val="24"/>
          <w:sz w:val="24"/>
          <w:szCs w:val="24"/>
        </w:rPr>
        <w:t>s look to them</w:t>
      </w:r>
      <w:r w:rsidR="006A7840">
        <w:rPr>
          <w:rFonts w:ascii="Times New Roman" w:hAnsi="Times New Roman" w:cs="Times New Roman"/>
          <w:kern w:val="24"/>
          <w:sz w:val="24"/>
          <w:szCs w:val="24"/>
        </w:rPr>
        <w:t>—the ability to draw on firms’ knowledge of their own, particular realities, and tailor the rules to account for them.</w:t>
      </w:r>
    </w:p>
    <w:p w:rsidR="007B5E4F" w:rsidRDefault="007B5E4F" w:rsidP="001610E3">
      <w:pPr>
        <w:autoSpaceDE w:val="0"/>
        <w:autoSpaceDN w:val="0"/>
        <w:adjustRightInd w:val="0"/>
        <w:spacing w:after="0" w:line="480" w:lineRule="auto"/>
        <w:rPr>
          <w:rFonts w:ascii="Times New Roman" w:hAnsi="Times New Roman" w:cs="Times New Roman"/>
          <w:kern w:val="24"/>
          <w:sz w:val="24"/>
          <w:szCs w:val="24"/>
        </w:rPr>
      </w:pPr>
    </w:p>
    <w:p w:rsidR="004F4A75" w:rsidRPr="0078420B" w:rsidRDefault="007B5E4F" w:rsidP="0078420B">
      <w:pPr>
        <w:autoSpaceDE w:val="0"/>
        <w:autoSpaceDN w:val="0"/>
        <w:adjustRightInd w:val="0"/>
        <w:spacing w:after="0" w:line="480" w:lineRule="auto"/>
        <w:rPr>
          <w:rFonts w:ascii="Times New Roman" w:hAnsi="Times New Roman" w:cs="Times New Roman"/>
          <w:b/>
          <w:kern w:val="24"/>
          <w:sz w:val="24"/>
          <w:szCs w:val="24"/>
        </w:rPr>
      </w:pPr>
      <w:r>
        <w:rPr>
          <w:rFonts w:ascii="Times New Roman" w:hAnsi="Times New Roman" w:cs="Times New Roman"/>
          <w:b/>
          <w:kern w:val="24"/>
          <w:sz w:val="24"/>
          <w:szCs w:val="24"/>
        </w:rPr>
        <w:t xml:space="preserve">IV. Sector-Based </w:t>
      </w:r>
      <w:r w:rsidR="007F4E9A">
        <w:rPr>
          <w:rFonts w:ascii="Times New Roman" w:hAnsi="Times New Roman" w:cs="Times New Roman"/>
          <w:b/>
          <w:kern w:val="24"/>
          <w:sz w:val="24"/>
          <w:szCs w:val="24"/>
        </w:rPr>
        <w:t xml:space="preserve">Privacy </w:t>
      </w:r>
      <w:r>
        <w:rPr>
          <w:rFonts w:ascii="Times New Roman" w:hAnsi="Times New Roman" w:cs="Times New Roman"/>
          <w:b/>
          <w:kern w:val="24"/>
          <w:sz w:val="24"/>
          <w:szCs w:val="24"/>
        </w:rPr>
        <w:t>Codes: A Better Solutio</w:t>
      </w:r>
      <w:r w:rsidR="0078420B">
        <w:rPr>
          <w:rFonts w:ascii="Times New Roman" w:hAnsi="Times New Roman" w:cs="Times New Roman"/>
          <w:b/>
          <w:kern w:val="24"/>
          <w:sz w:val="24"/>
          <w:szCs w:val="24"/>
        </w:rPr>
        <w:t>n</w:t>
      </w:r>
    </w:p>
    <w:p w:rsidR="00461749" w:rsidRDefault="008826F4"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There is another way to structure enforceable codes of conduct.</w:t>
      </w:r>
      <w:r w:rsidR="007B5E4F">
        <w:rPr>
          <w:rFonts w:ascii="Times New Roman" w:hAnsi="Times New Roman" w:cs="Times New Roman"/>
          <w:kern w:val="24"/>
          <w:sz w:val="24"/>
          <w:szCs w:val="24"/>
        </w:rPr>
        <w:t xml:space="preserve"> </w:t>
      </w:r>
      <w:r w:rsidR="00461749">
        <w:rPr>
          <w:rFonts w:ascii="Times New Roman" w:hAnsi="Times New Roman" w:cs="Times New Roman"/>
          <w:kern w:val="24"/>
          <w:sz w:val="24"/>
          <w:szCs w:val="24"/>
        </w:rPr>
        <w:t>Industry sectors can draft them.</w:t>
      </w:r>
      <w:r w:rsidR="007B5E4F">
        <w:rPr>
          <w:rFonts w:ascii="Times New Roman" w:hAnsi="Times New Roman" w:cs="Times New Roman"/>
          <w:kern w:val="24"/>
          <w:sz w:val="24"/>
          <w:szCs w:val="24"/>
        </w:rPr>
        <w:t xml:space="preserve"> </w:t>
      </w:r>
      <w:r w:rsidR="00461749">
        <w:rPr>
          <w:rFonts w:ascii="Times New Roman" w:hAnsi="Times New Roman" w:cs="Times New Roman"/>
          <w:kern w:val="24"/>
          <w:sz w:val="24"/>
          <w:szCs w:val="24"/>
        </w:rPr>
        <w:t>This is how the Dutch, who pioneered the use of enforceable privacy codes of conduct, design them.</w:t>
      </w:r>
      <w:r w:rsidR="007B5E4F">
        <w:rPr>
          <w:rFonts w:ascii="Times New Roman" w:hAnsi="Times New Roman" w:cs="Times New Roman"/>
          <w:kern w:val="24"/>
          <w:sz w:val="24"/>
          <w:szCs w:val="24"/>
        </w:rPr>
        <w:t xml:space="preserve"> </w:t>
      </w:r>
      <w:r w:rsidR="00FC15C4">
        <w:rPr>
          <w:rFonts w:ascii="Times New Roman" w:hAnsi="Times New Roman" w:cs="Times New Roman"/>
          <w:kern w:val="24"/>
          <w:sz w:val="24"/>
          <w:szCs w:val="24"/>
        </w:rPr>
        <w:t>A</w:t>
      </w:r>
      <w:r w:rsidR="00461749">
        <w:rPr>
          <w:rFonts w:ascii="Times New Roman" w:hAnsi="Times New Roman" w:cs="Times New Roman"/>
          <w:kern w:val="24"/>
          <w:sz w:val="24"/>
          <w:szCs w:val="24"/>
        </w:rPr>
        <w:t xml:space="preserve">n industry sector, usually represented by a trade association, drafts a code of conduct </w:t>
      </w:r>
      <w:r w:rsidR="00C23C89">
        <w:rPr>
          <w:rFonts w:ascii="Times New Roman" w:hAnsi="Times New Roman" w:cs="Times New Roman"/>
          <w:kern w:val="24"/>
          <w:sz w:val="24"/>
          <w:szCs w:val="24"/>
        </w:rPr>
        <w:t xml:space="preserve">that </w:t>
      </w:r>
      <w:r w:rsidR="00461749">
        <w:rPr>
          <w:rFonts w:ascii="Times New Roman" w:hAnsi="Times New Roman" w:cs="Times New Roman"/>
          <w:kern w:val="24"/>
          <w:sz w:val="24"/>
          <w:szCs w:val="24"/>
        </w:rPr>
        <w:t>applies the Dutch Data Protection Act to the realities of its specific sector.</w:t>
      </w:r>
      <w:r w:rsidR="005B61F2">
        <w:rPr>
          <w:rStyle w:val="FootnoteReference"/>
          <w:rFonts w:ascii="Times New Roman" w:hAnsi="Times New Roman" w:cs="Times New Roman"/>
          <w:kern w:val="24"/>
          <w:sz w:val="24"/>
          <w:szCs w:val="24"/>
        </w:rPr>
        <w:footnoteReference w:id="131"/>
      </w:r>
      <w:r w:rsidR="007B5E4F">
        <w:rPr>
          <w:rFonts w:ascii="Times New Roman" w:hAnsi="Times New Roman" w:cs="Times New Roman"/>
          <w:kern w:val="24"/>
          <w:sz w:val="24"/>
          <w:szCs w:val="24"/>
        </w:rPr>
        <w:t xml:space="preserve"> </w:t>
      </w:r>
      <w:r w:rsidR="00461749">
        <w:rPr>
          <w:rFonts w:ascii="Times New Roman" w:hAnsi="Times New Roman" w:cs="Times New Roman"/>
          <w:kern w:val="24"/>
          <w:sz w:val="24"/>
          <w:szCs w:val="24"/>
        </w:rPr>
        <w:t>Once the Dutch DPA approves the code, any company in that sector that complies with it inhabits a legal safe harbor with respect to the statute.</w:t>
      </w:r>
      <w:r w:rsidR="00F81C71">
        <w:rPr>
          <w:rStyle w:val="FootnoteReference"/>
          <w:rFonts w:ascii="Times New Roman" w:hAnsi="Times New Roman" w:cs="Times New Roman"/>
          <w:kern w:val="24"/>
          <w:sz w:val="24"/>
          <w:szCs w:val="24"/>
        </w:rPr>
        <w:footnoteReference w:id="132"/>
      </w:r>
      <w:r w:rsidR="007B5E4F">
        <w:rPr>
          <w:rFonts w:ascii="Times New Roman" w:hAnsi="Times New Roman" w:cs="Times New Roman"/>
          <w:kern w:val="24"/>
          <w:sz w:val="24"/>
          <w:szCs w:val="24"/>
        </w:rPr>
        <w:t xml:space="preserve"> </w:t>
      </w:r>
      <w:r w:rsidR="00461749">
        <w:rPr>
          <w:rFonts w:ascii="Times New Roman" w:hAnsi="Times New Roman" w:cs="Times New Roman"/>
          <w:kern w:val="24"/>
          <w:sz w:val="24"/>
          <w:szCs w:val="24"/>
        </w:rPr>
        <w:t>The Dutch DPA has approved twenty sector-based codes of conduct, including codes drafted by the pharmaceutical, banking, insurance, direct marketing, and credit rating industries.</w:t>
      </w:r>
      <w:r w:rsidR="00461749">
        <w:rPr>
          <w:rStyle w:val="FootnoteReference"/>
          <w:rFonts w:ascii="Times New Roman" w:hAnsi="Times New Roman" w:cs="Times New Roman"/>
          <w:kern w:val="24"/>
          <w:sz w:val="24"/>
          <w:szCs w:val="24"/>
        </w:rPr>
        <w:footnoteReference w:id="133"/>
      </w:r>
      <w:r w:rsidR="007B5E4F">
        <w:rPr>
          <w:rFonts w:ascii="Times New Roman" w:hAnsi="Times New Roman" w:cs="Times New Roman"/>
          <w:kern w:val="24"/>
          <w:sz w:val="24"/>
          <w:szCs w:val="24"/>
        </w:rPr>
        <w:t xml:space="preserve"> </w:t>
      </w:r>
      <w:r w:rsidR="00461749">
        <w:rPr>
          <w:rFonts w:ascii="Times New Roman" w:hAnsi="Times New Roman" w:cs="Times New Roman"/>
          <w:kern w:val="24"/>
          <w:sz w:val="24"/>
          <w:szCs w:val="24"/>
        </w:rPr>
        <w:t>These codes are tailored to the business realities of the specific sector that they govern.</w:t>
      </w:r>
      <w:r w:rsidR="00461749">
        <w:rPr>
          <w:rStyle w:val="FootnoteReference"/>
          <w:rFonts w:ascii="Times New Roman" w:hAnsi="Times New Roman" w:cs="Times New Roman"/>
          <w:kern w:val="24"/>
          <w:sz w:val="24"/>
          <w:szCs w:val="24"/>
        </w:rPr>
        <w:footnoteReference w:id="134"/>
      </w:r>
    </w:p>
    <w:p w:rsidR="005B61F2" w:rsidRDefault="00C23C89"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Policymakers could use the same approach with respect to </w:t>
      </w:r>
      <w:r w:rsidR="0079477C">
        <w:rPr>
          <w:rFonts w:ascii="Times New Roman" w:hAnsi="Times New Roman" w:cs="Times New Roman"/>
          <w:kern w:val="24"/>
          <w:sz w:val="24"/>
          <w:szCs w:val="24"/>
        </w:rPr>
        <w:t>cross-border privacy rules.</w:t>
      </w:r>
      <w:r w:rsidR="005B61F2">
        <w:rPr>
          <w:rFonts w:ascii="Times New Roman" w:hAnsi="Times New Roman" w:cs="Times New Roman"/>
          <w:kern w:val="24"/>
          <w:sz w:val="24"/>
          <w:szCs w:val="24"/>
        </w:rPr>
        <w:t xml:space="preserve"> </w:t>
      </w:r>
      <w:r w:rsidR="00102899">
        <w:rPr>
          <w:rFonts w:ascii="Times New Roman" w:hAnsi="Times New Roman" w:cs="Times New Roman"/>
          <w:kern w:val="24"/>
          <w:sz w:val="24"/>
          <w:szCs w:val="24"/>
        </w:rPr>
        <w:t>They could utilize sector-based—</w:t>
      </w:r>
      <w:r w:rsidR="0079477C" w:rsidRPr="00102899">
        <w:rPr>
          <w:rFonts w:ascii="Times New Roman" w:hAnsi="Times New Roman" w:cs="Times New Roman"/>
          <w:kern w:val="24"/>
          <w:sz w:val="24"/>
          <w:szCs w:val="24"/>
        </w:rPr>
        <w:t>as opposed to company-based or economy-wide</w:t>
      </w:r>
      <w:r w:rsidR="00102899" w:rsidRPr="00102899">
        <w:rPr>
          <w:rFonts w:ascii="Times New Roman" w:hAnsi="Times New Roman" w:cs="Times New Roman"/>
          <w:kern w:val="24"/>
          <w:sz w:val="24"/>
          <w:szCs w:val="24"/>
        </w:rPr>
        <w:t>—</w:t>
      </w:r>
      <w:r w:rsidR="0079477C" w:rsidRPr="00102899">
        <w:rPr>
          <w:rFonts w:ascii="Times New Roman" w:hAnsi="Times New Roman" w:cs="Times New Roman"/>
          <w:kern w:val="24"/>
          <w:sz w:val="24"/>
          <w:szCs w:val="24"/>
        </w:rPr>
        <w:t xml:space="preserve"> codes of </w:t>
      </w:r>
      <w:r w:rsidR="0079477C" w:rsidRPr="00102899">
        <w:rPr>
          <w:rFonts w:ascii="Times New Roman" w:hAnsi="Times New Roman" w:cs="Times New Roman"/>
          <w:kern w:val="24"/>
          <w:sz w:val="24"/>
          <w:szCs w:val="24"/>
        </w:rPr>
        <w:lastRenderedPageBreak/>
        <w:t>conduct.</w:t>
      </w:r>
      <w:r w:rsidR="005B61F2">
        <w:rPr>
          <w:rFonts w:ascii="Times New Roman" w:hAnsi="Times New Roman" w:cs="Times New Roman"/>
          <w:kern w:val="24"/>
          <w:sz w:val="24"/>
          <w:szCs w:val="24"/>
        </w:rPr>
        <w:t xml:space="preserve">  </w:t>
      </w:r>
      <w:r w:rsidR="0079477C">
        <w:rPr>
          <w:rFonts w:ascii="Times New Roman" w:hAnsi="Times New Roman" w:cs="Times New Roman"/>
          <w:kern w:val="24"/>
          <w:sz w:val="24"/>
          <w:szCs w:val="24"/>
        </w:rPr>
        <w:t>Doing so would ameliorate many of the problems that</w:t>
      </w:r>
      <w:r w:rsidR="00D1456D">
        <w:rPr>
          <w:rFonts w:ascii="Times New Roman" w:hAnsi="Times New Roman" w:cs="Times New Roman"/>
          <w:kern w:val="24"/>
          <w:sz w:val="24"/>
          <w:szCs w:val="24"/>
        </w:rPr>
        <w:t xml:space="preserve"> the other two approaches produce</w:t>
      </w:r>
      <w:r w:rsidR="0079477C">
        <w:rPr>
          <w:rFonts w:ascii="Times New Roman" w:hAnsi="Times New Roman" w:cs="Times New Roman"/>
          <w:kern w:val="24"/>
          <w:sz w:val="24"/>
          <w:szCs w:val="24"/>
        </w:rPr>
        <w:t>.</w:t>
      </w:r>
      <w:r w:rsidR="005B61F2">
        <w:rPr>
          <w:rFonts w:ascii="Times New Roman" w:hAnsi="Times New Roman" w:cs="Times New Roman"/>
          <w:kern w:val="24"/>
          <w:sz w:val="24"/>
          <w:szCs w:val="24"/>
        </w:rPr>
        <w:t xml:space="preserve"> </w:t>
      </w:r>
      <w:r w:rsidR="00102899">
        <w:rPr>
          <w:rFonts w:ascii="Times New Roman" w:hAnsi="Times New Roman" w:cs="Times New Roman"/>
          <w:kern w:val="24"/>
          <w:sz w:val="24"/>
          <w:szCs w:val="24"/>
        </w:rPr>
        <w:t>S</w:t>
      </w:r>
      <w:r w:rsidR="0079477C">
        <w:rPr>
          <w:rFonts w:ascii="Times New Roman" w:hAnsi="Times New Roman" w:cs="Times New Roman"/>
          <w:kern w:val="24"/>
          <w:sz w:val="24"/>
          <w:szCs w:val="24"/>
        </w:rPr>
        <w:t>ector-based codes would be accessible, not only to the largest and most sophisticated firms, but to small and medium-sized ones as well.</w:t>
      </w:r>
      <w:r w:rsidR="005B61F2">
        <w:rPr>
          <w:rFonts w:ascii="Times New Roman" w:hAnsi="Times New Roman" w:cs="Times New Roman"/>
          <w:kern w:val="24"/>
          <w:sz w:val="24"/>
          <w:szCs w:val="24"/>
        </w:rPr>
        <w:t xml:space="preserve"> </w:t>
      </w:r>
      <w:r w:rsidR="0079477C">
        <w:rPr>
          <w:rFonts w:ascii="Times New Roman" w:hAnsi="Times New Roman" w:cs="Times New Roman"/>
          <w:kern w:val="24"/>
          <w:sz w:val="24"/>
          <w:szCs w:val="24"/>
        </w:rPr>
        <w:t xml:space="preserve">Such smaller companies could </w:t>
      </w:r>
      <w:r w:rsidR="00D1456D">
        <w:rPr>
          <w:rFonts w:ascii="Times New Roman" w:hAnsi="Times New Roman" w:cs="Times New Roman"/>
          <w:kern w:val="24"/>
          <w:sz w:val="24"/>
          <w:szCs w:val="24"/>
        </w:rPr>
        <w:t xml:space="preserve">organize themselves—either through a trade association, or otherwise—and </w:t>
      </w:r>
      <w:r w:rsidR="0079477C" w:rsidRPr="00D1456D">
        <w:rPr>
          <w:rFonts w:ascii="Times New Roman" w:hAnsi="Times New Roman" w:cs="Times New Roman"/>
          <w:kern w:val="24"/>
          <w:sz w:val="24"/>
          <w:szCs w:val="24"/>
        </w:rPr>
        <w:t xml:space="preserve">pool their resources to </w:t>
      </w:r>
      <w:r w:rsidR="00940AA5" w:rsidRPr="00D1456D">
        <w:rPr>
          <w:rFonts w:ascii="Times New Roman" w:hAnsi="Times New Roman" w:cs="Times New Roman"/>
          <w:kern w:val="24"/>
          <w:sz w:val="24"/>
          <w:szCs w:val="24"/>
        </w:rPr>
        <w:t xml:space="preserve">support </w:t>
      </w:r>
      <w:r w:rsidR="0079477C" w:rsidRPr="00D1456D">
        <w:rPr>
          <w:rFonts w:ascii="Times New Roman" w:hAnsi="Times New Roman" w:cs="Times New Roman"/>
          <w:kern w:val="24"/>
          <w:sz w:val="24"/>
          <w:szCs w:val="24"/>
        </w:rPr>
        <w:t>the drafting and negotiation of a code of conduct for their sector.</w:t>
      </w:r>
      <w:r w:rsidR="005B61F2">
        <w:rPr>
          <w:rFonts w:ascii="Times New Roman" w:hAnsi="Times New Roman" w:cs="Times New Roman"/>
          <w:kern w:val="24"/>
          <w:sz w:val="24"/>
          <w:szCs w:val="24"/>
        </w:rPr>
        <w:t xml:space="preserve"> </w:t>
      </w:r>
      <w:r w:rsidR="00FF2699">
        <w:rPr>
          <w:rFonts w:ascii="Times New Roman" w:hAnsi="Times New Roman" w:cs="Times New Roman"/>
          <w:kern w:val="24"/>
          <w:sz w:val="24"/>
          <w:szCs w:val="24"/>
        </w:rPr>
        <w:t xml:space="preserve">This would make participation in a </w:t>
      </w:r>
      <w:r w:rsidR="00EC73D4">
        <w:rPr>
          <w:rFonts w:ascii="Times New Roman" w:hAnsi="Times New Roman" w:cs="Times New Roman"/>
          <w:kern w:val="24"/>
          <w:sz w:val="24"/>
          <w:szCs w:val="24"/>
        </w:rPr>
        <w:t>sector-based code system</w:t>
      </w:r>
      <w:r w:rsidR="00FF2699">
        <w:rPr>
          <w:rFonts w:ascii="Times New Roman" w:hAnsi="Times New Roman" w:cs="Times New Roman"/>
          <w:kern w:val="24"/>
          <w:sz w:val="24"/>
          <w:szCs w:val="24"/>
        </w:rPr>
        <w:t xml:space="preserve"> feasible for such companies in a way that developing a </w:t>
      </w:r>
      <w:r w:rsidR="00EC73D4">
        <w:rPr>
          <w:rFonts w:ascii="Times New Roman" w:hAnsi="Times New Roman" w:cs="Times New Roman"/>
          <w:kern w:val="24"/>
          <w:sz w:val="24"/>
          <w:szCs w:val="24"/>
        </w:rPr>
        <w:t xml:space="preserve">company-based </w:t>
      </w:r>
      <w:r w:rsidR="00FF2699">
        <w:rPr>
          <w:rFonts w:ascii="Times New Roman" w:hAnsi="Times New Roman" w:cs="Times New Roman"/>
          <w:kern w:val="24"/>
          <w:sz w:val="24"/>
          <w:szCs w:val="24"/>
        </w:rPr>
        <w:t>code would not be</w:t>
      </w:r>
      <w:r w:rsidR="00EC73D4">
        <w:rPr>
          <w:rFonts w:ascii="Times New Roman" w:hAnsi="Times New Roman" w:cs="Times New Roman"/>
          <w:kern w:val="24"/>
          <w:sz w:val="24"/>
          <w:szCs w:val="24"/>
        </w:rPr>
        <w:t>.</w:t>
      </w:r>
      <w:r w:rsidR="005B61F2">
        <w:rPr>
          <w:rFonts w:ascii="Times New Roman" w:hAnsi="Times New Roman" w:cs="Times New Roman"/>
          <w:kern w:val="24"/>
          <w:sz w:val="24"/>
          <w:szCs w:val="24"/>
        </w:rPr>
        <w:t xml:space="preserve"> </w:t>
      </w:r>
      <w:r w:rsidR="00FF2699">
        <w:rPr>
          <w:rFonts w:ascii="Times New Roman" w:hAnsi="Times New Roman" w:cs="Times New Roman"/>
          <w:kern w:val="24"/>
          <w:sz w:val="24"/>
          <w:szCs w:val="24"/>
        </w:rPr>
        <w:t xml:space="preserve">More </w:t>
      </w:r>
      <w:r w:rsidR="00EC73D4">
        <w:rPr>
          <w:rFonts w:ascii="Times New Roman" w:hAnsi="Times New Roman" w:cs="Times New Roman"/>
          <w:kern w:val="24"/>
          <w:sz w:val="24"/>
          <w:szCs w:val="24"/>
        </w:rPr>
        <w:t xml:space="preserve">companies would </w:t>
      </w:r>
      <w:r w:rsidR="00FF2699">
        <w:rPr>
          <w:rFonts w:ascii="Times New Roman" w:hAnsi="Times New Roman" w:cs="Times New Roman"/>
          <w:kern w:val="24"/>
          <w:sz w:val="24"/>
          <w:szCs w:val="24"/>
        </w:rPr>
        <w:t xml:space="preserve">accordingly </w:t>
      </w:r>
      <w:r w:rsidR="00EC73D4">
        <w:rPr>
          <w:rFonts w:ascii="Times New Roman" w:hAnsi="Times New Roman" w:cs="Times New Roman"/>
          <w:kern w:val="24"/>
          <w:sz w:val="24"/>
          <w:szCs w:val="24"/>
        </w:rPr>
        <w:t>have access to sector-based codes</w:t>
      </w:r>
      <w:r w:rsidR="00FF2699">
        <w:rPr>
          <w:rFonts w:ascii="Times New Roman" w:hAnsi="Times New Roman" w:cs="Times New Roman"/>
          <w:kern w:val="24"/>
          <w:sz w:val="24"/>
          <w:szCs w:val="24"/>
        </w:rPr>
        <w:t xml:space="preserve"> than to company-based ones</w:t>
      </w:r>
      <w:r w:rsidR="00EC73D4">
        <w:rPr>
          <w:rFonts w:ascii="Times New Roman" w:hAnsi="Times New Roman" w:cs="Times New Roman"/>
          <w:kern w:val="24"/>
          <w:sz w:val="24"/>
          <w:szCs w:val="24"/>
        </w:rPr>
        <w:t>.</w:t>
      </w:r>
    </w:p>
    <w:p w:rsidR="00EC0FBC" w:rsidRDefault="00D1456D"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A sector-based system would also reduce r</w:t>
      </w:r>
      <w:r w:rsidR="00EC73D4">
        <w:rPr>
          <w:rFonts w:ascii="Times New Roman" w:hAnsi="Times New Roman" w:cs="Times New Roman"/>
          <w:kern w:val="24"/>
          <w:sz w:val="24"/>
          <w:szCs w:val="24"/>
        </w:rPr>
        <w:t>egulators’ administrative costs.</w:t>
      </w:r>
      <w:r w:rsidR="005B61F2">
        <w:rPr>
          <w:rFonts w:ascii="Times New Roman" w:hAnsi="Times New Roman" w:cs="Times New Roman"/>
          <w:kern w:val="24"/>
          <w:sz w:val="24"/>
          <w:szCs w:val="24"/>
        </w:rPr>
        <w:t xml:space="preserve"> </w:t>
      </w:r>
      <w:r w:rsidR="00EC73D4">
        <w:rPr>
          <w:rFonts w:ascii="Times New Roman" w:hAnsi="Times New Roman" w:cs="Times New Roman"/>
          <w:kern w:val="24"/>
          <w:sz w:val="24"/>
          <w:szCs w:val="24"/>
        </w:rPr>
        <w:t>There are simply fewer sectors than there are companies.</w:t>
      </w:r>
      <w:r w:rsidR="005B61F2">
        <w:rPr>
          <w:rFonts w:ascii="Times New Roman" w:hAnsi="Times New Roman" w:cs="Times New Roman"/>
          <w:kern w:val="24"/>
          <w:sz w:val="24"/>
          <w:szCs w:val="24"/>
        </w:rPr>
        <w:t xml:space="preserve"> </w:t>
      </w:r>
      <w:r w:rsidR="00EC73D4">
        <w:rPr>
          <w:rFonts w:ascii="Times New Roman" w:hAnsi="Times New Roman" w:cs="Times New Roman"/>
          <w:kern w:val="24"/>
          <w:sz w:val="24"/>
          <w:szCs w:val="24"/>
        </w:rPr>
        <w:t>Concentrating the code negotiation process at the level of the sector would therefore reduce the resources needed to supervise and engage in this process.</w:t>
      </w:r>
      <w:r w:rsidR="005B61F2">
        <w:rPr>
          <w:rFonts w:ascii="Times New Roman" w:hAnsi="Times New Roman" w:cs="Times New Roman"/>
          <w:kern w:val="24"/>
          <w:sz w:val="24"/>
          <w:szCs w:val="24"/>
        </w:rPr>
        <w:t xml:space="preserve"> </w:t>
      </w:r>
      <w:r w:rsidR="00EC73D4">
        <w:rPr>
          <w:rFonts w:ascii="Times New Roman" w:hAnsi="Times New Roman" w:cs="Times New Roman"/>
          <w:kern w:val="24"/>
          <w:sz w:val="24"/>
          <w:szCs w:val="24"/>
        </w:rPr>
        <w:t>The Dutch codes support this point.</w:t>
      </w:r>
      <w:r w:rsidR="005B61F2">
        <w:rPr>
          <w:rFonts w:ascii="Times New Roman" w:hAnsi="Times New Roman" w:cs="Times New Roman"/>
          <w:kern w:val="24"/>
          <w:sz w:val="24"/>
          <w:szCs w:val="24"/>
        </w:rPr>
        <w:t xml:space="preserve"> </w:t>
      </w:r>
      <w:r w:rsidR="00EC73D4">
        <w:rPr>
          <w:rFonts w:ascii="Times New Roman" w:hAnsi="Times New Roman" w:cs="Times New Roman"/>
          <w:kern w:val="24"/>
          <w:sz w:val="24"/>
          <w:szCs w:val="24"/>
        </w:rPr>
        <w:t>Since 1989, when the Dutch DPA first started negotiating sector-based codes of conduct, it has approved twenty such codes.</w:t>
      </w:r>
      <w:r w:rsidR="00F05C8F">
        <w:rPr>
          <w:rStyle w:val="FootnoteReference"/>
          <w:rFonts w:ascii="Times New Roman" w:hAnsi="Times New Roman" w:cs="Times New Roman"/>
          <w:kern w:val="24"/>
          <w:sz w:val="24"/>
          <w:szCs w:val="24"/>
        </w:rPr>
        <w:footnoteReference w:id="135"/>
      </w:r>
      <w:r w:rsidR="005B61F2">
        <w:rPr>
          <w:rFonts w:ascii="Times New Roman" w:hAnsi="Times New Roman" w:cs="Times New Roman"/>
          <w:kern w:val="24"/>
          <w:sz w:val="24"/>
          <w:szCs w:val="24"/>
        </w:rPr>
        <w:t xml:space="preserve"> </w:t>
      </w:r>
      <w:r w:rsidR="00EC73D4">
        <w:rPr>
          <w:rFonts w:ascii="Times New Roman" w:hAnsi="Times New Roman" w:cs="Times New Roman"/>
          <w:kern w:val="24"/>
          <w:sz w:val="24"/>
          <w:szCs w:val="24"/>
        </w:rPr>
        <w:t>This is a reasonable task that even a small national a</w:t>
      </w:r>
      <w:r w:rsidR="00F05C8F">
        <w:rPr>
          <w:rFonts w:ascii="Times New Roman" w:hAnsi="Times New Roman" w:cs="Times New Roman"/>
          <w:kern w:val="24"/>
          <w:sz w:val="24"/>
          <w:szCs w:val="24"/>
        </w:rPr>
        <w:t>gency, such as the Dutch DPA, has been</w:t>
      </w:r>
      <w:r w:rsidR="00EC73D4">
        <w:rPr>
          <w:rFonts w:ascii="Times New Roman" w:hAnsi="Times New Roman" w:cs="Times New Roman"/>
          <w:kern w:val="24"/>
          <w:sz w:val="24"/>
          <w:szCs w:val="24"/>
        </w:rPr>
        <w:t xml:space="preserve"> able to handle</w:t>
      </w:r>
      <w:r w:rsidR="00EC0FBC">
        <w:rPr>
          <w:rFonts w:ascii="Times New Roman" w:hAnsi="Times New Roman" w:cs="Times New Roman"/>
          <w:kern w:val="24"/>
          <w:sz w:val="24"/>
          <w:szCs w:val="24"/>
        </w:rPr>
        <w:t xml:space="preserve">.  </w:t>
      </w:r>
      <w:r w:rsidR="00EC73D4">
        <w:rPr>
          <w:rFonts w:ascii="Times New Roman" w:hAnsi="Times New Roman" w:cs="Times New Roman"/>
          <w:kern w:val="24"/>
          <w:sz w:val="24"/>
          <w:szCs w:val="24"/>
        </w:rPr>
        <w:t xml:space="preserve">While an international system would likely </w:t>
      </w:r>
      <w:r w:rsidR="00D048D0">
        <w:rPr>
          <w:rFonts w:ascii="Times New Roman" w:hAnsi="Times New Roman" w:cs="Times New Roman"/>
          <w:kern w:val="24"/>
          <w:sz w:val="24"/>
          <w:szCs w:val="24"/>
        </w:rPr>
        <w:t>produce a greater number of sector-based codes, the relevant agency would have a proportionately larger amount of resources at its disposal.</w:t>
      </w:r>
      <w:r w:rsidR="00EC0FBC">
        <w:rPr>
          <w:rFonts w:ascii="Times New Roman" w:hAnsi="Times New Roman" w:cs="Times New Roman"/>
          <w:kern w:val="24"/>
          <w:sz w:val="24"/>
          <w:szCs w:val="24"/>
        </w:rPr>
        <w:t xml:space="preserve"> </w:t>
      </w:r>
      <w:r w:rsidR="00D048D0">
        <w:rPr>
          <w:rFonts w:ascii="Times New Roman" w:hAnsi="Times New Roman" w:cs="Times New Roman"/>
          <w:kern w:val="24"/>
          <w:sz w:val="24"/>
          <w:szCs w:val="24"/>
        </w:rPr>
        <w:t>It should be able to handle this task.</w:t>
      </w:r>
      <w:r w:rsidR="002C6DEF">
        <w:rPr>
          <w:rStyle w:val="FootnoteReference"/>
          <w:rFonts w:ascii="Times New Roman" w:hAnsi="Times New Roman" w:cs="Times New Roman"/>
          <w:kern w:val="24"/>
          <w:sz w:val="24"/>
          <w:szCs w:val="24"/>
        </w:rPr>
        <w:footnoteReference w:id="136"/>
      </w:r>
    </w:p>
    <w:p w:rsidR="00EC0FBC" w:rsidRDefault="00D048D0"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For much the same reasons, sector-based codes should be more amenable to public participation than their company-based counterparts.</w:t>
      </w:r>
      <w:r w:rsidR="00EC0FBC">
        <w:rPr>
          <w:rFonts w:ascii="Times New Roman" w:hAnsi="Times New Roman" w:cs="Times New Roman"/>
          <w:kern w:val="24"/>
          <w:sz w:val="24"/>
          <w:szCs w:val="24"/>
        </w:rPr>
        <w:t xml:space="preserve"> </w:t>
      </w:r>
      <w:r w:rsidR="00FF2699">
        <w:rPr>
          <w:rFonts w:ascii="Times New Roman" w:hAnsi="Times New Roman" w:cs="Times New Roman"/>
          <w:kern w:val="24"/>
          <w:sz w:val="24"/>
          <w:szCs w:val="24"/>
        </w:rPr>
        <w:t>S</w:t>
      </w:r>
      <w:r w:rsidR="006A32A5">
        <w:rPr>
          <w:rFonts w:ascii="Times New Roman" w:hAnsi="Times New Roman" w:cs="Times New Roman"/>
          <w:kern w:val="24"/>
          <w:sz w:val="24"/>
          <w:szCs w:val="24"/>
        </w:rPr>
        <w:t xml:space="preserve">takeholder organizations </w:t>
      </w:r>
      <w:r w:rsidR="00FF2699">
        <w:rPr>
          <w:rFonts w:ascii="Times New Roman" w:hAnsi="Times New Roman" w:cs="Times New Roman"/>
          <w:kern w:val="24"/>
          <w:sz w:val="24"/>
          <w:szCs w:val="24"/>
        </w:rPr>
        <w:t xml:space="preserve">will have </w:t>
      </w:r>
      <w:r w:rsidR="006A32A5">
        <w:rPr>
          <w:rFonts w:ascii="Times New Roman" w:hAnsi="Times New Roman" w:cs="Times New Roman"/>
          <w:kern w:val="24"/>
          <w:sz w:val="24"/>
          <w:szCs w:val="24"/>
        </w:rPr>
        <w:t>a smaller number of codes to review and monitor.</w:t>
      </w:r>
      <w:r w:rsidR="00EC0FBC">
        <w:rPr>
          <w:rFonts w:ascii="Times New Roman" w:hAnsi="Times New Roman" w:cs="Times New Roman"/>
          <w:kern w:val="24"/>
          <w:sz w:val="24"/>
          <w:szCs w:val="24"/>
        </w:rPr>
        <w:t xml:space="preserve"> </w:t>
      </w:r>
      <w:r w:rsidR="006A32A5">
        <w:rPr>
          <w:rFonts w:ascii="Times New Roman" w:hAnsi="Times New Roman" w:cs="Times New Roman"/>
          <w:kern w:val="24"/>
          <w:sz w:val="24"/>
          <w:szCs w:val="24"/>
        </w:rPr>
        <w:t>The</w:t>
      </w:r>
      <w:r w:rsidR="00917E9A">
        <w:rPr>
          <w:rFonts w:ascii="Times New Roman" w:hAnsi="Times New Roman" w:cs="Times New Roman"/>
          <w:kern w:val="24"/>
          <w:sz w:val="24"/>
          <w:szCs w:val="24"/>
        </w:rPr>
        <w:t>se</w:t>
      </w:r>
      <w:r w:rsidR="006A32A5">
        <w:rPr>
          <w:rFonts w:ascii="Times New Roman" w:hAnsi="Times New Roman" w:cs="Times New Roman"/>
          <w:kern w:val="24"/>
          <w:sz w:val="24"/>
          <w:szCs w:val="24"/>
        </w:rPr>
        <w:t xml:space="preserve"> groups should find this</w:t>
      </w:r>
      <w:r w:rsidR="00917E9A">
        <w:rPr>
          <w:rFonts w:ascii="Times New Roman" w:hAnsi="Times New Roman" w:cs="Times New Roman"/>
          <w:kern w:val="24"/>
          <w:sz w:val="24"/>
          <w:szCs w:val="24"/>
        </w:rPr>
        <w:t xml:space="preserve"> to be</w:t>
      </w:r>
      <w:r w:rsidR="006A32A5">
        <w:rPr>
          <w:rFonts w:ascii="Times New Roman" w:hAnsi="Times New Roman" w:cs="Times New Roman"/>
          <w:kern w:val="24"/>
          <w:sz w:val="24"/>
          <w:szCs w:val="24"/>
        </w:rPr>
        <w:t xml:space="preserve"> a much more manageable task.</w:t>
      </w:r>
      <w:r w:rsidR="00EC0FBC">
        <w:rPr>
          <w:rFonts w:ascii="Times New Roman" w:hAnsi="Times New Roman" w:cs="Times New Roman"/>
          <w:kern w:val="24"/>
          <w:sz w:val="24"/>
          <w:szCs w:val="24"/>
        </w:rPr>
        <w:t xml:space="preserve"> </w:t>
      </w:r>
      <w:r w:rsidR="006A32A5">
        <w:rPr>
          <w:rFonts w:ascii="Times New Roman" w:hAnsi="Times New Roman" w:cs="Times New Roman"/>
          <w:kern w:val="24"/>
          <w:sz w:val="24"/>
          <w:szCs w:val="24"/>
        </w:rPr>
        <w:t>Each of the above reasons explains why sector-based codes would likely function better than the company-based codes on which the current initiatives rely so heavily.</w:t>
      </w:r>
    </w:p>
    <w:p w:rsidR="006A32A5" w:rsidRDefault="00C2048C"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They also stack up well against </w:t>
      </w:r>
      <w:r w:rsidR="006A32A5">
        <w:rPr>
          <w:rFonts w:ascii="Times New Roman" w:hAnsi="Times New Roman" w:cs="Times New Roman"/>
          <w:kern w:val="24"/>
          <w:sz w:val="24"/>
          <w:szCs w:val="24"/>
        </w:rPr>
        <w:t>the economy-wide codes that the Safe Harbor program</w:t>
      </w:r>
      <w:r w:rsidR="00D343C1">
        <w:rPr>
          <w:rFonts w:ascii="Times New Roman" w:hAnsi="Times New Roman" w:cs="Times New Roman"/>
          <w:kern w:val="24"/>
          <w:sz w:val="24"/>
          <w:szCs w:val="24"/>
        </w:rPr>
        <w:t xml:space="preserve"> utilizes</w:t>
      </w:r>
      <w:r>
        <w:rPr>
          <w:rFonts w:ascii="Times New Roman" w:hAnsi="Times New Roman" w:cs="Times New Roman"/>
          <w:kern w:val="24"/>
          <w:sz w:val="24"/>
          <w:szCs w:val="24"/>
        </w:rPr>
        <w:t>.</w:t>
      </w:r>
      <w:r w:rsidR="00EC0FBC">
        <w:rPr>
          <w:rFonts w:ascii="Times New Roman" w:hAnsi="Times New Roman" w:cs="Times New Roman"/>
          <w:kern w:val="24"/>
          <w:sz w:val="24"/>
          <w:szCs w:val="24"/>
        </w:rPr>
        <w:t xml:space="preserve"> </w:t>
      </w:r>
      <w:r>
        <w:rPr>
          <w:rFonts w:ascii="Times New Roman" w:hAnsi="Times New Roman" w:cs="Times New Roman"/>
          <w:kern w:val="24"/>
          <w:sz w:val="24"/>
          <w:szCs w:val="24"/>
        </w:rPr>
        <w:t>E</w:t>
      </w:r>
      <w:r w:rsidR="00D343C1">
        <w:rPr>
          <w:rFonts w:ascii="Times New Roman" w:hAnsi="Times New Roman" w:cs="Times New Roman"/>
          <w:kern w:val="24"/>
          <w:sz w:val="24"/>
          <w:szCs w:val="24"/>
        </w:rPr>
        <w:t>conomy-wide codes</w:t>
      </w:r>
      <w:r>
        <w:rPr>
          <w:rFonts w:ascii="Times New Roman" w:hAnsi="Times New Roman" w:cs="Times New Roman"/>
          <w:kern w:val="24"/>
          <w:sz w:val="24"/>
          <w:szCs w:val="24"/>
        </w:rPr>
        <w:t>’ main weakness</w:t>
      </w:r>
      <w:r w:rsidR="00D343C1">
        <w:rPr>
          <w:rFonts w:ascii="Times New Roman" w:hAnsi="Times New Roman" w:cs="Times New Roman"/>
          <w:kern w:val="24"/>
          <w:sz w:val="24"/>
          <w:szCs w:val="24"/>
        </w:rPr>
        <w:t xml:space="preserve"> is that they must speak in broad terms so that many different types of companies can participate in them.</w:t>
      </w:r>
      <w:r w:rsidR="00FF2699">
        <w:rPr>
          <w:rStyle w:val="FootnoteReference"/>
          <w:rFonts w:ascii="Times New Roman" w:hAnsi="Times New Roman" w:cs="Times New Roman"/>
          <w:kern w:val="24"/>
          <w:sz w:val="24"/>
          <w:szCs w:val="24"/>
        </w:rPr>
        <w:footnoteReference w:id="137"/>
      </w:r>
      <w:r w:rsidR="00EC0FBC">
        <w:rPr>
          <w:rFonts w:ascii="Times New Roman" w:hAnsi="Times New Roman" w:cs="Times New Roman"/>
          <w:kern w:val="24"/>
          <w:sz w:val="24"/>
          <w:szCs w:val="24"/>
        </w:rPr>
        <w:t xml:space="preserve"> </w:t>
      </w:r>
      <w:r w:rsidR="00D343C1">
        <w:rPr>
          <w:rFonts w:ascii="Times New Roman" w:hAnsi="Times New Roman" w:cs="Times New Roman"/>
          <w:kern w:val="24"/>
          <w:sz w:val="24"/>
          <w:szCs w:val="24"/>
        </w:rPr>
        <w:t>They cannot tailor themselves to the specific realities of a company or sector.</w:t>
      </w:r>
      <w:r w:rsidR="00EC0FBC">
        <w:rPr>
          <w:rFonts w:ascii="Times New Roman" w:hAnsi="Times New Roman" w:cs="Times New Roman"/>
          <w:kern w:val="24"/>
          <w:sz w:val="24"/>
          <w:szCs w:val="24"/>
        </w:rPr>
        <w:t xml:space="preserve"> </w:t>
      </w:r>
      <w:r w:rsidR="00D343C1">
        <w:rPr>
          <w:rFonts w:ascii="Times New Roman" w:hAnsi="Times New Roman" w:cs="Times New Roman"/>
          <w:kern w:val="24"/>
          <w:sz w:val="24"/>
          <w:szCs w:val="24"/>
        </w:rPr>
        <w:t>Sector-based codes</w:t>
      </w:r>
      <w:r>
        <w:rPr>
          <w:rFonts w:ascii="Times New Roman" w:hAnsi="Times New Roman" w:cs="Times New Roman"/>
          <w:kern w:val="24"/>
          <w:sz w:val="24"/>
          <w:szCs w:val="24"/>
        </w:rPr>
        <w:t xml:space="preserve">, on the other hand, can do this.  </w:t>
      </w:r>
      <w:r w:rsidR="00EC0FBC">
        <w:rPr>
          <w:rFonts w:ascii="Times New Roman" w:hAnsi="Times New Roman" w:cs="Times New Roman"/>
          <w:kern w:val="24"/>
          <w:sz w:val="24"/>
          <w:szCs w:val="24"/>
        </w:rPr>
        <w:t xml:space="preserve"> </w:t>
      </w:r>
      <w:r w:rsidR="00D343C1">
        <w:rPr>
          <w:rFonts w:ascii="Times New Roman" w:hAnsi="Times New Roman" w:cs="Times New Roman"/>
          <w:kern w:val="24"/>
          <w:sz w:val="24"/>
          <w:szCs w:val="24"/>
        </w:rPr>
        <w:t>The d</w:t>
      </w:r>
      <w:r>
        <w:rPr>
          <w:rFonts w:ascii="Times New Roman" w:hAnsi="Times New Roman" w:cs="Times New Roman"/>
          <w:kern w:val="24"/>
          <w:sz w:val="24"/>
          <w:szCs w:val="24"/>
        </w:rPr>
        <w:t>rafters of a sector-based code—</w:t>
      </w:r>
      <w:r w:rsidR="00D343C1" w:rsidRPr="00C2048C">
        <w:rPr>
          <w:rFonts w:ascii="Times New Roman" w:hAnsi="Times New Roman" w:cs="Times New Roman"/>
          <w:kern w:val="24"/>
          <w:sz w:val="24"/>
          <w:szCs w:val="24"/>
        </w:rPr>
        <w:t>typically a trade associati</w:t>
      </w:r>
      <w:r>
        <w:rPr>
          <w:rFonts w:ascii="Times New Roman" w:hAnsi="Times New Roman" w:cs="Times New Roman"/>
          <w:kern w:val="24"/>
          <w:sz w:val="24"/>
          <w:szCs w:val="24"/>
        </w:rPr>
        <w:t>on that represents that sector—</w:t>
      </w:r>
      <w:r w:rsidR="00D343C1" w:rsidRPr="00C2048C">
        <w:rPr>
          <w:rFonts w:ascii="Times New Roman" w:hAnsi="Times New Roman" w:cs="Times New Roman"/>
          <w:kern w:val="24"/>
          <w:sz w:val="24"/>
          <w:szCs w:val="24"/>
        </w:rPr>
        <w:t xml:space="preserve">can draw on the experience and knowledge of companies in that </w:t>
      </w:r>
      <w:r w:rsidR="00917E9A" w:rsidRPr="00C2048C">
        <w:rPr>
          <w:rFonts w:ascii="Times New Roman" w:hAnsi="Times New Roman" w:cs="Times New Roman"/>
          <w:kern w:val="24"/>
          <w:sz w:val="24"/>
          <w:szCs w:val="24"/>
        </w:rPr>
        <w:t>branch of industry</w:t>
      </w:r>
      <w:r w:rsidR="00D343C1" w:rsidRPr="00C2048C">
        <w:rPr>
          <w:rFonts w:ascii="Times New Roman" w:hAnsi="Times New Roman" w:cs="Times New Roman"/>
          <w:kern w:val="24"/>
          <w:sz w:val="24"/>
          <w:szCs w:val="24"/>
        </w:rPr>
        <w:t>.</w:t>
      </w:r>
      <w:r w:rsidR="00EC0FBC">
        <w:rPr>
          <w:rFonts w:ascii="Times New Roman" w:hAnsi="Times New Roman" w:cs="Times New Roman"/>
          <w:kern w:val="24"/>
          <w:sz w:val="24"/>
          <w:szCs w:val="24"/>
        </w:rPr>
        <w:t xml:space="preserve"> </w:t>
      </w:r>
      <w:r w:rsidR="00D343C1">
        <w:rPr>
          <w:rFonts w:ascii="Times New Roman" w:hAnsi="Times New Roman" w:cs="Times New Roman"/>
          <w:kern w:val="24"/>
          <w:sz w:val="24"/>
          <w:szCs w:val="24"/>
        </w:rPr>
        <w:t xml:space="preserve">They can build this into the code and so produce a document that </w:t>
      </w:r>
      <w:r w:rsidR="00F431C0">
        <w:rPr>
          <w:rFonts w:ascii="Times New Roman" w:hAnsi="Times New Roman" w:cs="Times New Roman"/>
          <w:kern w:val="24"/>
          <w:sz w:val="24"/>
          <w:szCs w:val="24"/>
        </w:rPr>
        <w:t>intelligently accounts for the specific technological and business realities of that particular sector.</w:t>
      </w:r>
      <w:r w:rsidR="00EC0FBC">
        <w:rPr>
          <w:rFonts w:ascii="Times New Roman" w:hAnsi="Times New Roman" w:cs="Times New Roman"/>
          <w:kern w:val="24"/>
          <w:sz w:val="24"/>
          <w:szCs w:val="24"/>
        </w:rPr>
        <w:t xml:space="preserve"> </w:t>
      </w:r>
      <w:r w:rsidR="00FD6120">
        <w:rPr>
          <w:rFonts w:ascii="Times New Roman" w:hAnsi="Times New Roman" w:cs="Times New Roman"/>
          <w:kern w:val="24"/>
          <w:sz w:val="24"/>
          <w:szCs w:val="24"/>
        </w:rPr>
        <w:t xml:space="preserve">The sector-based Dutch codes </w:t>
      </w:r>
      <w:r w:rsidR="009667AC">
        <w:rPr>
          <w:rFonts w:ascii="Times New Roman" w:hAnsi="Times New Roman" w:cs="Times New Roman"/>
          <w:kern w:val="24"/>
          <w:sz w:val="24"/>
          <w:szCs w:val="24"/>
        </w:rPr>
        <w:t>demonstrate</w:t>
      </w:r>
      <w:r w:rsidR="00FD6120">
        <w:rPr>
          <w:rFonts w:ascii="Times New Roman" w:hAnsi="Times New Roman" w:cs="Times New Roman"/>
          <w:kern w:val="24"/>
          <w:sz w:val="24"/>
          <w:szCs w:val="24"/>
        </w:rPr>
        <w:t xml:space="preserve"> this as well.</w:t>
      </w:r>
      <w:r w:rsidR="00FD6120">
        <w:rPr>
          <w:rStyle w:val="FootnoteReference"/>
          <w:rFonts w:ascii="Times New Roman" w:hAnsi="Times New Roman" w:cs="Times New Roman"/>
          <w:kern w:val="24"/>
          <w:sz w:val="24"/>
          <w:szCs w:val="24"/>
        </w:rPr>
        <w:footnoteReference w:id="138"/>
      </w:r>
      <w:r w:rsidR="006A32A5">
        <w:rPr>
          <w:rFonts w:ascii="Times New Roman" w:hAnsi="Times New Roman" w:cs="Times New Roman"/>
          <w:kern w:val="24"/>
          <w:sz w:val="24"/>
          <w:szCs w:val="24"/>
        </w:rPr>
        <w:t xml:space="preserve"> </w:t>
      </w:r>
    </w:p>
    <w:p w:rsidR="003E1956" w:rsidRDefault="00C2048C"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The bottom line is that </w:t>
      </w:r>
      <w:r w:rsidR="00FD6120">
        <w:rPr>
          <w:rFonts w:ascii="Times New Roman" w:hAnsi="Times New Roman" w:cs="Times New Roman"/>
          <w:kern w:val="24"/>
          <w:sz w:val="24"/>
          <w:szCs w:val="24"/>
        </w:rPr>
        <w:t xml:space="preserve">sector-based codes </w:t>
      </w:r>
      <w:r>
        <w:rPr>
          <w:rFonts w:ascii="Times New Roman" w:hAnsi="Times New Roman" w:cs="Times New Roman"/>
          <w:kern w:val="24"/>
          <w:sz w:val="24"/>
          <w:szCs w:val="24"/>
        </w:rPr>
        <w:t xml:space="preserve">will possess </w:t>
      </w:r>
      <w:r w:rsidR="00FD6120">
        <w:rPr>
          <w:rFonts w:ascii="Times New Roman" w:hAnsi="Times New Roman" w:cs="Times New Roman"/>
          <w:kern w:val="24"/>
          <w:sz w:val="24"/>
          <w:szCs w:val="24"/>
        </w:rPr>
        <w:t>the most important advantages of company-based and economy-wide codes, while avoiding their most significant weaknesses.</w:t>
      </w:r>
      <w:r w:rsidR="00EC0FBC">
        <w:rPr>
          <w:rFonts w:ascii="Times New Roman" w:hAnsi="Times New Roman" w:cs="Times New Roman"/>
          <w:kern w:val="24"/>
          <w:sz w:val="24"/>
          <w:szCs w:val="24"/>
        </w:rPr>
        <w:t xml:space="preserve"> </w:t>
      </w:r>
      <w:r w:rsidR="0023212C">
        <w:rPr>
          <w:rFonts w:ascii="Times New Roman" w:hAnsi="Times New Roman" w:cs="Times New Roman"/>
          <w:kern w:val="24"/>
          <w:sz w:val="24"/>
          <w:szCs w:val="24"/>
        </w:rPr>
        <w:t>Initiatives seeking to establish cross-border privacy rules should employ sector-based codes in place of, or in addition to, these other two types</w:t>
      </w:r>
      <w:r>
        <w:rPr>
          <w:rFonts w:ascii="Times New Roman" w:hAnsi="Times New Roman" w:cs="Times New Roman"/>
          <w:kern w:val="24"/>
          <w:sz w:val="24"/>
          <w:szCs w:val="24"/>
        </w:rPr>
        <w:t xml:space="preserve"> of codes</w:t>
      </w:r>
      <w:r w:rsidR="0023212C">
        <w:rPr>
          <w:rFonts w:ascii="Times New Roman" w:hAnsi="Times New Roman" w:cs="Times New Roman"/>
          <w:kern w:val="24"/>
          <w:sz w:val="24"/>
          <w:szCs w:val="24"/>
        </w:rPr>
        <w:t xml:space="preserve">. </w:t>
      </w:r>
      <w:r w:rsidR="00EC0FBC">
        <w:rPr>
          <w:rFonts w:ascii="Times New Roman" w:hAnsi="Times New Roman" w:cs="Times New Roman"/>
          <w:kern w:val="24"/>
          <w:sz w:val="24"/>
          <w:szCs w:val="24"/>
        </w:rPr>
        <w:t xml:space="preserve"> </w:t>
      </w:r>
      <w:r w:rsidR="0023212C">
        <w:rPr>
          <w:rFonts w:ascii="Times New Roman" w:hAnsi="Times New Roman" w:cs="Times New Roman"/>
          <w:kern w:val="24"/>
          <w:sz w:val="24"/>
          <w:szCs w:val="24"/>
        </w:rPr>
        <w:t xml:space="preserve">The following table </w:t>
      </w:r>
      <w:r>
        <w:rPr>
          <w:rFonts w:ascii="Times New Roman" w:hAnsi="Times New Roman" w:cs="Times New Roman"/>
          <w:kern w:val="24"/>
          <w:sz w:val="24"/>
          <w:szCs w:val="24"/>
        </w:rPr>
        <w:t xml:space="preserve">depicts </w:t>
      </w:r>
      <w:r w:rsidR="006F0BF4">
        <w:rPr>
          <w:rFonts w:ascii="Times New Roman" w:hAnsi="Times New Roman" w:cs="Times New Roman"/>
          <w:kern w:val="24"/>
          <w:sz w:val="24"/>
          <w:szCs w:val="24"/>
        </w:rPr>
        <w:t xml:space="preserve">the </w:t>
      </w:r>
      <w:r>
        <w:rPr>
          <w:rFonts w:ascii="Times New Roman" w:hAnsi="Times New Roman" w:cs="Times New Roman"/>
          <w:kern w:val="24"/>
          <w:sz w:val="24"/>
          <w:szCs w:val="24"/>
        </w:rPr>
        <w:t>current initiatives</w:t>
      </w:r>
      <w:r w:rsidR="0023212C">
        <w:rPr>
          <w:rFonts w:ascii="Times New Roman" w:hAnsi="Times New Roman" w:cs="Times New Roman"/>
          <w:kern w:val="24"/>
          <w:sz w:val="24"/>
          <w:szCs w:val="24"/>
        </w:rPr>
        <w:t xml:space="preserve"> and where </w:t>
      </w:r>
      <w:r w:rsidR="00E04160">
        <w:rPr>
          <w:rFonts w:ascii="Times New Roman" w:hAnsi="Times New Roman" w:cs="Times New Roman"/>
          <w:kern w:val="24"/>
          <w:sz w:val="24"/>
          <w:szCs w:val="24"/>
        </w:rPr>
        <w:t xml:space="preserve">the recommended, </w:t>
      </w:r>
      <w:r w:rsidR="0023212C">
        <w:rPr>
          <w:rFonts w:ascii="Times New Roman" w:hAnsi="Times New Roman" w:cs="Times New Roman"/>
          <w:kern w:val="24"/>
          <w:sz w:val="24"/>
          <w:szCs w:val="24"/>
        </w:rPr>
        <w:t>sec</w:t>
      </w:r>
      <w:r w:rsidR="003E1956">
        <w:rPr>
          <w:rFonts w:ascii="Times New Roman" w:hAnsi="Times New Roman" w:cs="Times New Roman"/>
          <w:kern w:val="24"/>
          <w:sz w:val="24"/>
          <w:szCs w:val="24"/>
        </w:rPr>
        <w:t xml:space="preserve">tor-based approach would fit </w:t>
      </w:r>
      <w:r w:rsidR="0023212C">
        <w:rPr>
          <w:rFonts w:ascii="Times New Roman" w:hAnsi="Times New Roman" w:cs="Times New Roman"/>
          <w:kern w:val="24"/>
          <w:sz w:val="24"/>
          <w:szCs w:val="24"/>
        </w:rPr>
        <w:t>among them.</w:t>
      </w:r>
    </w:p>
    <w:p w:rsidR="00ED12F6" w:rsidRDefault="00ED12F6">
      <w:pPr>
        <w:rPr>
          <w:rFonts w:ascii="Times New Roman" w:hAnsi="Times New Roman" w:cs="Times New Roman"/>
          <w:kern w:val="24"/>
          <w:sz w:val="24"/>
          <w:szCs w:val="24"/>
        </w:rPr>
      </w:pPr>
      <w:r>
        <w:rPr>
          <w:rFonts w:ascii="Times New Roman" w:hAnsi="Times New Roman" w:cs="Times New Roman"/>
          <w:kern w:val="24"/>
          <w:sz w:val="24"/>
          <w:szCs w:val="24"/>
        </w:rPr>
        <w:br w:type="page"/>
      </w:r>
    </w:p>
    <w:p w:rsidR="003E1956" w:rsidRDefault="003E1956" w:rsidP="003E1956">
      <w:pPr>
        <w:autoSpaceDE w:val="0"/>
        <w:autoSpaceDN w:val="0"/>
        <w:adjustRightInd w:val="0"/>
        <w:spacing w:after="0" w:line="240" w:lineRule="auto"/>
        <w:rPr>
          <w:rFonts w:ascii="Times New Roman" w:hAnsi="Times New Roman" w:cs="Times New Roman"/>
          <w:kern w:val="24"/>
          <w:sz w:val="24"/>
          <w:szCs w:val="24"/>
        </w:rPr>
      </w:pPr>
    </w:p>
    <w:p w:rsidR="00C2048C" w:rsidRPr="00C2048C" w:rsidRDefault="005E792B" w:rsidP="00C2048C">
      <w:pPr>
        <w:autoSpaceDE w:val="0"/>
        <w:autoSpaceDN w:val="0"/>
        <w:adjustRightInd w:val="0"/>
        <w:spacing w:after="0" w:line="240" w:lineRule="auto"/>
        <w:ind w:left="2880"/>
        <w:rPr>
          <w:rFonts w:ascii="Times New Roman" w:hAnsi="Times New Roman" w:cs="Times New Roman"/>
          <w:b/>
          <w:kern w:val="24"/>
          <w:sz w:val="24"/>
          <w:szCs w:val="24"/>
        </w:rPr>
      </w:pPr>
      <w:r>
        <w:rPr>
          <w:rFonts w:ascii="Times New Roman" w:hAnsi="Times New Roman" w:cs="Times New Roman"/>
          <w:b/>
          <w:kern w:val="24"/>
          <w:sz w:val="24"/>
          <w:szCs w:val="24"/>
        </w:rPr>
        <w:t xml:space="preserve">TABLE 1: CROSS-BORDER PRIVACY RULES </w:t>
      </w:r>
    </w:p>
    <w:p w:rsidR="00C2048C" w:rsidRDefault="00C2048C" w:rsidP="003E1956">
      <w:pPr>
        <w:autoSpaceDE w:val="0"/>
        <w:autoSpaceDN w:val="0"/>
        <w:adjustRightInd w:val="0"/>
        <w:spacing w:after="0" w:line="240" w:lineRule="auto"/>
        <w:rPr>
          <w:rFonts w:ascii="Times New Roman" w:hAnsi="Times New Roman" w:cs="Times New Roman"/>
          <w:kern w:val="24"/>
          <w:sz w:val="24"/>
          <w:szCs w:val="24"/>
        </w:rPr>
      </w:pPr>
    </w:p>
    <w:p w:rsidR="003E1956" w:rsidRPr="003E1956" w:rsidRDefault="000F08CA" w:rsidP="003E1956">
      <w:pPr>
        <w:autoSpaceDE w:val="0"/>
        <w:autoSpaceDN w:val="0"/>
        <w:adjustRightInd w:val="0"/>
        <w:spacing w:after="0" w:line="240" w:lineRule="auto"/>
        <w:rPr>
          <w:rFonts w:ascii="Times New Roman" w:hAnsi="Times New Roman" w:cs="Times New Roman"/>
          <w:b/>
          <w:kern w:val="24"/>
          <w:sz w:val="24"/>
          <w:szCs w:val="24"/>
        </w:rPr>
      </w:pPr>
      <w:r>
        <w:rPr>
          <w:rFonts w:ascii="Times New Roman" w:hAnsi="Times New Roman" w:cs="Times New Roman"/>
          <w:b/>
          <w:kern w:val="24"/>
          <w:sz w:val="24"/>
          <w:szCs w:val="24"/>
        </w:rPr>
        <w:t>Level at W</w:t>
      </w:r>
      <w:r w:rsidR="003E1956">
        <w:rPr>
          <w:rFonts w:ascii="Times New Roman" w:hAnsi="Times New Roman" w:cs="Times New Roman"/>
          <w:b/>
          <w:kern w:val="24"/>
          <w:sz w:val="24"/>
          <w:szCs w:val="24"/>
        </w:rPr>
        <w:t>hich Regulate</w:t>
      </w:r>
      <w:r w:rsidR="003E1956">
        <w:rPr>
          <w:rFonts w:ascii="Times New Roman" w:hAnsi="Times New Roman" w:cs="Times New Roman"/>
          <w:b/>
          <w:kern w:val="24"/>
          <w:sz w:val="24"/>
          <w:szCs w:val="24"/>
        </w:rPr>
        <w:tab/>
      </w:r>
      <w:r w:rsidR="003E1956">
        <w:rPr>
          <w:rFonts w:ascii="Times New Roman" w:hAnsi="Times New Roman" w:cs="Times New Roman"/>
          <w:b/>
          <w:kern w:val="24"/>
          <w:sz w:val="24"/>
          <w:szCs w:val="24"/>
        </w:rPr>
        <w:tab/>
      </w:r>
      <w:r w:rsidR="003E1956">
        <w:rPr>
          <w:rFonts w:ascii="Times New Roman" w:hAnsi="Times New Roman" w:cs="Times New Roman"/>
          <w:b/>
          <w:kern w:val="24"/>
          <w:sz w:val="24"/>
          <w:szCs w:val="24"/>
        </w:rPr>
        <w:tab/>
      </w:r>
      <w:r w:rsidR="003E1956">
        <w:rPr>
          <w:rFonts w:ascii="Times New Roman" w:hAnsi="Times New Roman" w:cs="Times New Roman"/>
          <w:b/>
          <w:kern w:val="24"/>
          <w:sz w:val="24"/>
          <w:szCs w:val="24"/>
        </w:rPr>
        <w:tab/>
        <w:t>Type of Regulation</w:t>
      </w:r>
    </w:p>
    <w:p w:rsidR="003E1956" w:rsidRPr="003E1956" w:rsidRDefault="003E1956" w:rsidP="003E1956">
      <w:pPr>
        <w:autoSpaceDE w:val="0"/>
        <w:autoSpaceDN w:val="0"/>
        <w:adjustRightInd w:val="0"/>
        <w:spacing w:after="0" w:line="240" w:lineRule="auto"/>
        <w:ind w:left="1800"/>
        <w:rPr>
          <w:rFonts w:ascii="Times New Roman" w:hAnsi="Times New Roman" w:cs="Times New Roman"/>
          <w:kern w:val="24"/>
          <w:sz w:val="24"/>
          <w:szCs w:val="24"/>
        </w:rPr>
      </w:pPr>
    </w:p>
    <w:tbl>
      <w:tblPr>
        <w:tblStyle w:val="TableGrid"/>
        <w:tblW w:w="0" w:type="auto"/>
        <w:tblInd w:w="1902" w:type="dxa"/>
        <w:tblLook w:val="04A0" w:firstRow="1" w:lastRow="0" w:firstColumn="1" w:lastColumn="0" w:noHBand="0" w:noVBand="1"/>
      </w:tblPr>
      <w:tblGrid>
        <w:gridCol w:w="1747"/>
        <w:gridCol w:w="1792"/>
        <w:gridCol w:w="1750"/>
        <w:gridCol w:w="1750"/>
      </w:tblGrid>
      <w:tr w:rsidR="003E1956" w:rsidTr="003E1956">
        <w:trPr>
          <w:trHeight w:val="221"/>
        </w:trPr>
        <w:tc>
          <w:tcPr>
            <w:tcW w:w="1747" w:type="dxa"/>
          </w:tcPr>
          <w:p w:rsidR="003E1956" w:rsidRDefault="003E1956" w:rsidP="003C6F69">
            <w:pPr>
              <w:autoSpaceDE w:val="0"/>
              <w:autoSpaceDN w:val="0"/>
              <w:adjustRightInd w:val="0"/>
              <w:rPr>
                <w:rFonts w:ascii="Times New Roman" w:hAnsi="Times New Roman" w:cs="Times New Roman"/>
                <w:kern w:val="24"/>
                <w:sz w:val="24"/>
                <w:szCs w:val="24"/>
              </w:rPr>
            </w:pPr>
          </w:p>
        </w:tc>
        <w:tc>
          <w:tcPr>
            <w:tcW w:w="1792" w:type="dxa"/>
          </w:tcPr>
          <w:p w:rsidR="003E1956" w:rsidRPr="00805EAB" w:rsidRDefault="003E1956" w:rsidP="003C6F69">
            <w:pPr>
              <w:autoSpaceDE w:val="0"/>
              <w:autoSpaceDN w:val="0"/>
              <w:adjustRightInd w:val="0"/>
              <w:rPr>
                <w:rFonts w:ascii="Times New Roman" w:hAnsi="Times New Roman" w:cs="Times New Roman"/>
                <w:b/>
                <w:kern w:val="24"/>
                <w:sz w:val="24"/>
                <w:szCs w:val="24"/>
              </w:rPr>
            </w:pPr>
            <w:r w:rsidRPr="00805EAB">
              <w:rPr>
                <w:rFonts w:ascii="Times New Roman" w:hAnsi="Times New Roman" w:cs="Times New Roman"/>
                <w:b/>
                <w:kern w:val="24"/>
                <w:sz w:val="24"/>
                <w:szCs w:val="24"/>
              </w:rPr>
              <w:t>Direct regulation</w:t>
            </w:r>
          </w:p>
        </w:tc>
        <w:tc>
          <w:tcPr>
            <w:tcW w:w="1750" w:type="dxa"/>
          </w:tcPr>
          <w:p w:rsidR="003E1956" w:rsidRPr="00805EAB" w:rsidRDefault="003E1956" w:rsidP="003C6F69">
            <w:pPr>
              <w:autoSpaceDE w:val="0"/>
              <w:autoSpaceDN w:val="0"/>
              <w:adjustRightInd w:val="0"/>
              <w:rPr>
                <w:rFonts w:ascii="Times New Roman" w:hAnsi="Times New Roman" w:cs="Times New Roman"/>
                <w:b/>
                <w:kern w:val="24"/>
                <w:sz w:val="24"/>
                <w:szCs w:val="24"/>
              </w:rPr>
            </w:pPr>
            <w:r w:rsidRPr="00805EAB">
              <w:rPr>
                <w:rFonts w:ascii="Times New Roman" w:hAnsi="Times New Roman" w:cs="Times New Roman"/>
                <w:b/>
                <w:kern w:val="24"/>
                <w:sz w:val="24"/>
                <w:szCs w:val="24"/>
              </w:rPr>
              <w:t>Self-regulation</w:t>
            </w:r>
          </w:p>
        </w:tc>
        <w:tc>
          <w:tcPr>
            <w:tcW w:w="1750" w:type="dxa"/>
          </w:tcPr>
          <w:p w:rsidR="003E1956" w:rsidRPr="00805EAB" w:rsidRDefault="003E1956" w:rsidP="003C6F69">
            <w:pPr>
              <w:autoSpaceDE w:val="0"/>
              <w:autoSpaceDN w:val="0"/>
              <w:adjustRightInd w:val="0"/>
              <w:rPr>
                <w:rFonts w:ascii="Times New Roman" w:hAnsi="Times New Roman" w:cs="Times New Roman"/>
                <w:b/>
                <w:kern w:val="24"/>
                <w:sz w:val="24"/>
                <w:szCs w:val="24"/>
              </w:rPr>
            </w:pPr>
            <w:r w:rsidRPr="00805EAB">
              <w:rPr>
                <w:rFonts w:ascii="Times New Roman" w:hAnsi="Times New Roman" w:cs="Times New Roman"/>
                <w:b/>
                <w:kern w:val="24"/>
                <w:sz w:val="24"/>
                <w:szCs w:val="24"/>
              </w:rPr>
              <w:t>Co-regulation</w:t>
            </w:r>
          </w:p>
        </w:tc>
      </w:tr>
      <w:tr w:rsidR="003E1956" w:rsidTr="003E1956">
        <w:trPr>
          <w:trHeight w:val="894"/>
        </w:trPr>
        <w:tc>
          <w:tcPr>
            <w:tcW w:w="1747" w:type="dxa"/>
          </w:tcPr>
          <w:p w:rsidR="003E1956" w:rsidRPr="00805EAB" w:rsidRDefault="00E04160" w:rsidP="003C6F69">
            <w:pPr>
              <w:autoSpaceDE w:val="0"/>
              <w:autoSpaceDN w:val="0"/>
              <w:adjustRightInd w:val="0"/>
              <w:rPr>
                <w:rFonts w:ascii="Times New Roman" w:hAnsi="Times New Roman" w:cs="Times New Roman"/>
                <w:b/>
                <w:kern w:val="24"/>
                <w:sz w:val="24"/>
                <w:szCs w:val="24"/>
              </w:rPr>
            </w:pPr>
            <w:r>
              <w:rPr>
                <w:rFonts w:ascii="Times New Roman" w:hAnsi="Times New Roman" w:cs="Times New Roman"/>
                <w:b/>
                <w:kern w:val="24"/>
                <w:sz w:val="24"/>
                <w:szCs w:val="24"/>
              </w:rPr>
              <w:t>Company</w:t>
            </w:r>
          </w:p>
        </w:tc>
        <w:tc>
          <w:tcPr>
            <w:tcW w:w="1792" w:type="dxa"/>
          </w:tcPr>
          <w:p w:rsidR="003E1956" w:rsidRDefault="003E1956" w:rsidP="003C6F69">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International treaty implemented through national law</w:t>
            </w:r>
          </w:p>
        </w:tc>
        <w:tc>
          <w:tcPr>
            <w:tcW w:w="1750" w:type="dxa"/>
          </w:tcPr>
          <w:p w:rsidR="003E1956" w:rsidRDefault="00E04160" w:rsidP="003C6F69">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 xml:space="preserve">Corporate </w:t>
            </w:r>
            <w:r w:rsidR="003E1956">
              <w:rPr>
                <w:rFonts w:ascii="Times New Roman" w:hAnsi="Times New Roman" w:cs="Times New Roman"/>
                <w:kern w:val="24"/>
                <w:sz w:val="24"/>
                <w:szCs w:val="24"/>
              </w:rPr>
              <w:t>privacy policies</w:t>
            </w:r>
          </w:p>
        </w:tc>
        <w:tc>
          <w:tcPr>
            <w:tcW w:w="1750" w:type="dxa"/>
          </w:tcPr>
          <w:p w:rsidR="003E1956" w:rsidRDefault="003E1956" w:rsidP="003C6F69">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BCRs</w:t>
            </w:r>
          </w:p>
          <w:p w:rsidR="003E1956" w:rsidRDefault="003E1956" w:rsidP="003C6F69">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CBPRs</w:t>
            </w:r>
          </w:p>
          <w:p w:rsidR="003E1956" w:rsidRDefault="003E1956" w:rsidP="003E1956">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 xml:space="preserve">Safe Harbor </w:t>
            </w:r>
          </w:p>
        </w:tc>
      </w:tr>
      <w:tr w:rsidR="003E1956" w:rsidTr="005E792B">
        <w:trPr>
          <w:trHeight w:val="647"/>
        </w:trPr>
        <w:tc>
          <w:tcPr>
            <w:tcW w:w="1747" w:type="dxa"/>
          </w:tcPr>
          <w:p w:rsidR="003E1956" w:rsidRPr="00805EAB" w:rsidRDefault="003E1956" w:rsidP="003C6F69">
            <w:pPr>
              <w:autoSpaceDE w:val="0"/>
              <w:autoSpaceDN w:val="0"/>
              <w:adjustRightInd w:val="0"/>
              <w:rPr>
                <w:rFonts w:ascii="Times New Roman" w:hAnsi="Times New Roman" w:cs="Times New Roman"/>
                <w:b/>
                <w:kern w:val="24"/>
                <w:sz w:val="24"/>
                <w:szCs w:val="24"/>
              </w:rPr>
            </w:pPr>
            <w:r w:rsidRPr="00805EAB">
              <w:rPr>
                <w:rFonts w:ascii="Times New Roman" w:hAnsi="Times New Roman" w:cs="Times New Roman"/>
                <w:b/>
                <w:kern w:val="24"/>
                <w:sz w:val="24"/>
                <w:szCs w:val="24"/>
              </w:rPr>
              <w:t>Sector</w:t>
            </w:r>
          </w:p>
        </w:tc>
        <w:tc>
          <w:tcPr>
            <w:tcW w:w="1792" w:type="dxa"/>
          </w:tcPr>
          <w:p w:rsidR="003E1956" w:rsidRDefault="003E1956" w:rsidP="003C6F69">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International treaty</w:t>
            </w:r>
          </w:p>
        </w:tc>
        <w:tc>
          <w:tcPr>
            <w:tcW w:w="1750" w:type="dxa"/>
          </w:tcPr>
          <w:p w:rsidR="003E1956" w:rsidRPr="00EC0FBC" w:rsidRDefault="00EC0FBC" w:rsidP="003C6F69">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Network Advertising Initiative (NAI)</w:t>
            </w:r>
            <w:r>
              <w:rPr>
                <w:rStyle w:val="FootnoteReference"/>
                <w:rFonts w:ascii="Times New Roman" w:hAnsi="Times New Roman" w:cs="Times New Roman"/>
                <w:kern w:val="24"/>
                <w:sz w:val="24"/>
                <w:szCs w:val="24"/>
              </w:rPr>
              <w:footnoteReference w:id="139"/>
            </w:r>
          </w:p>
        </w:tc>
        <w:tc>
          <w:tcPr>
            <w:tcW w:w="1750" w:type="dxa"/>
          </w:tcPr>
          <w:p w:rsidR="003E1956" w:rsidRPr="00D565D2" w:rsidRDefault="003E1956" w:rsidP="003C6F69">
            <w:pPr>
              <w:autoSpaceDE w:val="0"/>
              <w:autoSpaceDN w:val="0"/>
              <w:adjustRightInd w:val="0"/>
              <w:rPr>
                <w:rFonts w:ascii="Times New Roman" w:hAnsi="Times New Roman" w:cs="Times New Roman"/>
                <w:b/>
                <w:kern w:val="24"/>
                <w:sz w:val="24"/>
                <w:szCs w:val="24"/>
              </w:rPr>
            </w:pPr>
            <w:r w:rsidRPr="00D565D2">
              <w:rPr>
                <w:rFonts w:ascii="Times New Roman" w:hAnsi="Times New Roman" w:cs="Times New Roman"/>
                <w:b/>
                <w:kern w:val="24"/>
                <w:sz w:val="24"/>
                <w:szCs w:val="24"/>
              </w:rPr>
              <w:t>Proposed approach</w:t>
            </w:r>
          </w:p>
        </w:tc>
      </w:tr>
      <w:tr w:rsidR="003E1956" w:rsidTr="003E1956">
        <w:trPr>
          <w:trHeight w:val="453"/>
        </w:trPr>
        <w:tc>
          <w:tcPr>
            <w:tcW w:w="1747" w:type="dxa"/>
          </w:tcPr>
          <w:p w:rsidR="003E1956" w:rsidRPr="00805EAB" w:rsidRDefault="00E04160" w:rsidP="003C6F69">
            <w:pPr>
              <w:autoSpaceDE w:val="0"/>
              <w:autoSpaceDN w:val="0"/>
              <w:adjustRightInd w:val="0"/>
              <w:rPr>
                <w:rFonts w:ascii="Times New Roman" w:hAnsi="Times New Roman" w:cs="Times New Roman"/>
                <w:b/>
                <w:kern w:val="24"/>
                <w:sz w:val="24"/>
                <w:szCs w:val="24"/>
              </w:rPr>
            </w:pPr>
            <w:r>
              <w:rPr>
                <w:rFonts w:ascii="Times New Roman" w:hAnsi="Times New Roman" w:cs="Times New Roman"/>
                <w:b/>
                <w:kern w:val="24"/>
                <w:sz w:val="24"/>
                <w:szCs w:val="24"/>
              </w:rPr>
              <w:t>Economy as a whole</w:t>
            </w:r>
          </w:p>
        </w:tc>
        <w:tc>
          <w:tcPr>
            <w:tcW w:w="1792" w:type="dxa"/>
          </w:tcPr>
          <w:p w:rsidR="003E1956" w:rsidRDefault="003E1956" w:rsidP="003C6F69">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International treaty</w:t>
            </w:r>
          </w:p>
        </w:tc>
        <w:tc>
          <w:tcPr>
            <w:tcW w:w="1750" w:type="dxa"/>
          </w:tcPr>
          <w:p w:rsidR="003E1956" w:rsidRDefault="003E1956" w:rsidP="003C6F69">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ICX Code</w:t>
            </w:r>
          </w:p>
        </w:tc>
        <w:tc>
          <w:tcPr>
            <w:tcW w:w="1750" w:type="dxa"/>
          </w:tcPr>
          <w:p w:rsidR="003E1956" w:rsidRDefault="003E1956" w:rsidP="00780E8E">
            <w:pPr>
              <w:autoSpaceDE w:val="0"/>
              <w:autoSpaceDN w:val="0"/>
              <w:adjustRightInd w:val="0"/>
              <w:rPr>
                <w:rFonts w:ascii="Times New Roman" w:hAnsi="Times New Roman" w:cs="Times New Roman"/>
                <w:kern w:val="24"/>
                <w:sz w:val="24"/>
                <w:szCs w:val="24"/>
              </w:rPr>
            </w:pPr>
            <w:r>
              <w:rPr>
                <w:rFonts w:ascii="Times New Roman" w:hAnsi="Times New Roman" w:cs="Times New Roman"/>
                <w:kern w:val="24"/>
                <w:sz w:val="24"/>
                <w:szCs w:val="24"/>
              </w:rPr>
              <w:t xml:space="preserve">Safe Harbor </w:t>
            </w:r>
          </w:p>
        </w:tc>
      </w:tr>
    </w:tbl>
    <w:p w:rsidR="008A4D29" w:rsidRDefault="008A4D29" w:rsidP="005A61F8">
      <w:pPr>
        <w:autoSpaceDE w:val="0"/>
        <w:autoSpaceDN w:val="0"/>
        <w:adjustRightInd w:val="0"/>
        <w:spacing w:after="0" w:line="240" w:lineRule="auto"/>
        <w:rPr>
          <w:rFonts w:ascii="Times New Roman" w:hAnsi="Times New Roman" w:cs="Times New Roman"/>
          <w:kern w:val="24"/>
          <w:sz w:val="24"/>
          <w:szCs w:val="24"/>
        </w:rPr>
      </w:pPr>
    </w:p>
    <w:p w:rsidR="001312AC" w:rsidRDefault="001312AC" w:rsidP="005A61F8">
      <w:pPr>
        <w:autoSpaceDE w:val="0"/>
        <w:autoSpaceDN w:val="0"/>
        <w:adjustRightInd w:val="0"/>
        <w:spacing w:after="0" w:line="240" w:lineRule="auto"/>
        <w:rPr>
          <w:rFonts w:ascii="Times New Roman" w:hAnsi="Times New Roman" w:cs="Times New Roman"/>
          <w:kern w:val="24"/>
          <w:sz w:val="24"/>
          <w:szCs w:val="24"/>
        </w:rPr>
      </w:pPr>
    </w:p>
    <w:p w:rsidR="001312AC" w:rsidRDefault="001312AC" w:rsidP="005A61F8">
      <w:pPr>
        <w:autoSpaceDE w:val="0"/>
        <w:autoSpaceDN w:val="0"/>
        <w:adjustRightInd w:val="0"/>
        <w:spacing w:after="0" w:line="240" w:lineRule="auto"/>
        <w:rPr>
          <w:rFonts w:ascii="Times New Roman" w:hAnsi="Times New Roman" w:cs="Times New Roman"/>
          <w:kern w:val="24"/>
          <w:sz w:val="24"/>
          <w:szCs w:val="24"/>
        </w:rPr>
      </w:pPr>
    </w:p>
    <w:p w:rsidR="004117D5" w:rsidRDefault="00D01BD7" w:rsidP="00D01BD7">
      <w:pPr>
        <w:autoSpaceDE w:val="0"/>
        <w:autoSpaceDN w:val="0"/>
        <w:adjustRightInd w:val="0"/>
        <w:spacing w:after="0" w:line="240" w:lineRule="auto"/>
        <w:ind w:left="720"/>
        <w:rPr>
          <w:rFonts w:ascii="Times New Roman" w:hAnsi="Times New Roman" w:cs="Times New Roman"/>
          <w:kern w:val="24"/>
          <w:sz w:val="24"/>
          <w:szCs w:val="24"/>
        </w:rPr>
      </w:pPr>
      <w:r>
        <w:rPr>
          <w:rFonts w:ascii="Times New Roman" w:hAnsi="Times New Roman" w:cs="Times New Roman"/>
          <w:kern w:val="24"/>
          <w:sz w:val="24"/>
          <w:szCs w:val="24"/>
        </w:rPr>
        <w:t xml:space="preserve">A.   </w:t>
      </w:r>
      <w:r w:rsidRPr="00D01BD7">
        <w:rPr>
          <w:rFonts w:ascii="Times New Roman" w:hAnsi="Times New Roman" w:cs="Times New Roman"/>
          <w:kern w:val="24"/>
          <w:sz w:val="24"/>
          <w:szCs w:val="24"/>
          <w:u w:val="single"/>
        </w:rPr>
        <w:t xml:space="preserve">Cross-Border </w:t>
      </w:r>
      <w:r w:rsidR="004117D5" w:rsidRPr="00D01BD7">
        <w:rPr>
          <w:rFonts w:ascii="Times New Roman" w:hAnsi="Times New Roman" w:cs="Times New Roman"/>
          <w:kern w:val="24"/>
          <w:sz w:val="24"/>
          <w:szCs w:val="24"/>
          <w:u w:val="single"/>
        </w:rPr>
        <w:t xml:space="preserve">Privacy Rules </w:t>
      </w:r>
      <w:proofErr w:type="gramStart"/>
      <w:r w:rsidR="004117D5" w:rsidRPr="00D01BD7">
        <w:rPr>
          <w:rFonts w:ascii="Times New Roman" w:hAnsi="Times New Roman" w:cs="Times New Roman"/>
          <w:kern w:val="24"/>
          <w:sz w:val="24"/>
          <w:szCs w:val="24"/>
          <w:u w:val="single"/>
        </w:rPr>
        <w:t>Through</w:t>
      </w:r>
      <w:proofErr w:type="gramEnd"/>
      <w:r w:rsidR="004117D5" w:rsidRPr="00D01BD7">
        <w:rPr>
          <w:rFonts w:ascii="Times New Roman" w:hAnsi="Times New Roman" w:cs="Times New Roman"/>
          <w:kern w:val="24"/>
          <w:sz w:val="24"/>
          <w:szCs w:val="24"/>
          <w:u w:val="single"/>
        </w:rPr>
        <w:t xml:space="preserve"> Sector-Based Codes: An Implementation Strategy</w:t>
      </w:r>
    </w:p>
    <w:p w:rsidR="00D01BD7" w:rsidRDefault="00D01BD7" w:rsidP="00D01BD7">
      <w:pPr>
        <w:autoSpaceDE w:val="0"/>
        <w:autoSpaceDN w:val="0"/>
        <w:adjustRightInd w:val="0"/>
        <w:spacing w:after="0" w:line="240" w:lineRule="auto"/>
        <w:rPr>
          <w:rFonts w:ascii="Times New Roman" w:hAnsi="Times New Roman" w:cs="Times New Roman"/>
          <w:kern w:val="24"/>
          <w:sz w:val="24"/>
          <w:szCs w:val="24"/>
        </w:rPr>
      </w:pPr>
    </w:p>
    <w:p w:rsidR="00847166" w:rsidRDefault="00C2048C"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In theory, there should be a </w:t>
      </w:r>
      <w:r w:rsidR="004117D5" w:rsidRPr="00C2048C">
        <w:rPr>
          <w:rFonts w:ascii="Times New Roman" w:hAnsi="Times New Roman" w:cs="Times New Roman"/>
          <w:kern w:val="24"/>
          <w:sz w:val="24"/>
          <w:szCs w:val="24"/>
        </w:rPr>
        <w:t xml:space="preserve">relatively simple, elegant way to achieve </w:t>
      </w:r>
      <w:r w:rsidR="00F25E13" w:rsidRPr="00C2048C">
        <w:rPr>
          <w:rFonts w:ascii="Times New Roman" w:hAnsi="Times New Roman" w:cs="Times New Roman"/>
          <w:kern w:val="24"/>
          <w:sz w:val="24"/>
          <w:szCs w:val="24"/>
        </w:rPr>
        <w:t>international, sector-based codes of conduct.</w:t>
      </w:r>
      <w:r w:rsidR="00D01BD7">
        <w:rPr>
          <w:rFonts w:ascii="Times New Roman" w:hAnsi="Times New Roman" w:cs="Times New Roman"/>
          <w:kern w:val="24"/>
          <w:sz w:val="24"/>
          <w:szCs w:val="24"/>
        </w:rPr>
        <w:t xml:space="preserve"> </w:t>
      </w:r>
      <w:r w:rsidR="00F25E13">
        <w:rPr>
          <w:rFonts w:ascii="Times New Roman" w:hAnsi="Times New Roman" w:cs="Times New Roman"/>
          <w:kern w:val="24"/>
          <w:sz w:val="24"/>
          <w:szCs w:val="24"/>
        </w:rPr>
        <w:t xml:space="preserve">First, an industry sector would draft a code of conduct that complies with the </w:t>
      </w:r>
      <w:r w:rsidR="001C6D99">
        <w:rPr>
          <w:rFonts w:ascii="Times New Roman" w:hAnsi="Times New Roman" w:cs="Times New Roman"/>
          <w:kern w:val="24"/>
          <w:sz w:val="24"/>
          <w:szCs w:val="24"/>
        </w:rPr>
        <w:t>EU</w:t>
      </w:r>
      <w:r w:rsidR="00F25E13">
        <w:rPr>
          <w:rFonts w:ascii="Times New Roman" w:hAnsi="Times New Roman" w:cs="Times New Roman"/>
          <w:kern w:val="24"/>
          <w:sz w:val="24"/>
          <w:szCs w:val="24"/>
        </w:rPr>
        <w:t>’s 1995 Data Protection Directive and with the APEC Privacy Principles</w:t>
      </w:r>
      <w:r w:rsidR="004117D5">
        <w:rPr>
          <w:rFonts w:ascii="Times New Roman" w:hAnsi="Times New Roman" w:cs="Times New Roman"/>
          <w:kern w:val="24"/>
          <w:sz w:val="24"/>
          <w:szCs w:val="24"/>
        </w:rPr>
        <w:t>,</w:t>
      </w:r>
      <w:r w:rsidR="00F25E13">
        <w:rPr>
          <w:rFonts w:ascii="Times New Roman" w:hAnsi="Times New Roman" w:cs="Times New Roman"/>
          <w:kern w:val="24"/>
          <w:sz w:val="24"/>
          <w:szCs w:val="24"/>
        </w:rPr>
        <w:t xml:space="preserve"> and that tailors these requirements to its particular realities.</w:t>
      </w:r>
      <w:r w:rsidR="00847166">
        <w:rPr>
          <w:rFonts w:ascii="Times New Roman" w:hAnsi="Times New Roman" w:cs="Times New Roman"/>
          <w:kern w:val="24"/>
          <w:sz w:val="24"/>
          <w:szCs w:val="24"/>
        </w:rPr>
        <w:t xml:space="preserve"> </w:t>
      </w:r>
      <w:r w:rsidR="00F25E13">
        <w:rPr>
          <w:rFonts w:ascii="Times New Roman" w:hAnsi="Times New Roman" w:cs="Times New Roman"/>
          <w:kern w:val="24"/>
          <w:sz w:val="24"/>
          <w:szCs w:val="24"/>
        </w:rPr>
        <w:t>Ne</w:t>
      </w:r>
      <w:r w:rsidR="00580F09">
        <w:rPr>
          <w:rFonts w:ascii="Times New Roman" w:hAnsi="Times New Roman" w:cs="Times New Roman"/>
          <w:kern w:val="24"/>
          <w:sz w:val="24"/>
          <w:szCs w:val="24"/>
        </w:rPr>
        <w:t>xt, the sector would submit the</w:t>
      </w:r>
      <w:r w:rsidR="00F25E13">
        <w:rPr>
          <w:rFonts w:ascii="Times New Roman" w:hAnsi="Times New Roman" w:cs="Times New Roman"/>
          <w:kern w:val="24"/>
          <w:sz w:val="24"/>
          <w:szCs w:val="24"/>
        </w:rPr>
        <w:t xml:space="preserve"> code to </w:t>
      </w:r>
      <w:r w:rsidR="004117D5">
        <w:rPr>
          <w:rFonts w:ascii="Times New Roman" w:hAnsi="Times New Roman" w:cs="Times New Roman"/>
          <w:kern w:val="24"/>
          <w:sz w:val="24"/>
          <w:szCs w:val="24"/>
        </w:rPr>
        <w:t>European authorities</w:t>
      </w:r>
      <w:r w:rsidR="00580F09">
        <w:rPr>
          <w:rFonts w:ascii="Times New Roman" w:hAnsi="Times New Roman" w:cs="Times New Roman"/>
          <w:kern w:val="24"/>
          <w:sz w:val="24"/>
          <w:szCs w:val="24"/>
        </w:rPr>
        <w:t xml:space="preserve"> who would review it for compliance with the Directive.</w:t>
      </w:r>
      <w:r w:rsidR="00847166">
        <w:rPr>
          <w:rFonts w:ascii="Times New Roman" w:hAnsi="Times New Roman" w:cs="Times New Roman"/>
          <w:kern w:val="24"/>
          <w:sz w:val="24"/>
          <w:szCs w:val="24"/>
        </w:rPr>
        <w:t xml:space="preserve"> </w:t>
      </w:r>
      <w:r w:rsidR="00580F09">
        <w:rPr>
          <w:rFonts w:ascii="Times New Roman" w:hAnsi="Times New Roman" w:cs="Times New Roman"/>
          <w:kern w:val="24"/>
          <w:sz w:val="24"/>
          <w:szCs w:val="24"/>
        </w:rPr>
        <w:t xml:space="preserve">If </w:t>
      </w:r>
      <w:r w:rsidR="004117D5">
        <w:rPr>
          <w:rFonts w:ascii="Times New Roman" w:hAnsi="Times New Roman" w:cs="Times New Roman"/>
          <w:kern w:val="24"/>
          <w:sz w:val="24"/>
          <w:szCs w:val="24"/>
        </w:rPr>
        <w:t xml:space="preserve">these officials approved </w:t>
      </w:r>
      <w:r w:rsidR="00580F09">
        <w:rPr>
          <w:rFonts w:ascii="Times New Roman" w:hAnsi="Times New Roman" w:cs="Times New Roman"/>
          <w:kern w:val="24"/>
          <w:sz w:val="24"/>
          <w:szCs w:val="24"/>
        </w:rPr>
        <w:t xml:space="preserve">it, then individual companies that followed the terms of the code would be </w:t>
      </w:r>
      <w:r w:rsidR="00B000F8">
        <w:rPr>
          <w:rFonts w:ascii="Times New Roman" w:hAnsi="Times New Roman" w:cs="Times New Roman"/>
          <w:kern w:val="24"/>
          <w:sz w:val="24"/>
          <w:szCs w:val="24"/>
        </w:rPr>
        <w:t xml:space="preserve">deemed to be </w:t>
      </w:r>
      <w:r w:rsidR="00580F09">
        <w:rPr>
          <w:rFonts w:ascii="Times New Roman" w:hAnsi="Times New Roman" w:cs="Times New Roman"/>
          <w:kern w:val="24"/>
          <w:sz w:val="24"/>
          <w:szCs w:val="24"/>
        </w:rPr>
        <w:t xml:space="preserve">in compliance with the </w:t>
      </w:r>
      <w:r w:rsidR="001F30E6">
        <w:rPr>
          <w:rFonts w:ascii="Times New Roman" w:hAnsi="Times New Roman" w:cs="Times New Roman"/>
          <w:kern w:val="24"/>
          <w:sz w:val="24"/>
          <w:szCs w:val="24"/>
        </w:rPr>
        <w:t>data protection laws of all 28</w:t>
      </w:r>
      <w:r w:rsidR="00F412A4">
        <w:rPr>
          <w:rFonts w:ascii="Times New Roman" w:hAnsi="Times New Roman" w:cs="Times New Roman"/>
          <w:kern w:val="24"/>
          <w:sz w:val="24"/>
          <w:szCs w:val="24"/>
        </w:rPr>
        <w:t xml:space="preserve"> </w:t>
      </w:r>
      <w:r w:rsidR="001C6D99">
        <w:rPr>
          <w:rFonts w:ascii="Times New Roman" w:hAnsi="Times New Roman" w:cs="Times New Roman"/>
          <w:kern w:val="24"/>
          <w:sz w:val="24"/>
          <w:szCs w:val="24"/>
        </w:rPr>
        <w:t xml:space="preserve">E.U. </w:t>
      </w:r>
      <w:r w:rsidR="00F412A4">
        <w:rPr>
          <w:rFonts w:ascii="Times New Roman" w:hAnsi="Times New Roman" w:cs="Times New Roman"/>
          <w:kern w:val="24"/>
          <w:sz w:val="24"/>
          <w:szCs w:val="24"/>
        </w:rPr>
        <w:t>member states.</w:t>
      </w:r>
      <w:r w:rsidR="00847166">
        <w:rPr>
          <w:rFonts w:ascii="Times New Roman" w:hAnsi="Times New Roman" w:cs="Times New Roman"/>
          <w:kern w:val="24"/>
          <w:sz w:val="24"/>
          <w:szCs w:val="24"/>
        </w:rPr>
        <w:t xml:space="preserve"> </w:t>
      </w:r>
      <w:r w:rsidR="006C72C8">
        <w:rPr>
          <w:rFonts w:ascii="Times New Roman" w:hAnsi="Times New Roman" w:cs="Times New Roman"/>
          <w:kern w:val="24"/>
          <w:sz w:val="24"/>
          <w:szCs w:val="24"/>
        </w:rPr>
        <w:t>T</w:t>
      </w:r>
      <w:r w:rsidR="00580F09">
        <w:rPr>
          <w:rFonts w:ascii="Times New Roman" w:hAnsi="Times New Roman" w:cs="Times New Roman"/>
          <w:kern w:val="24"/>
          <w:sz w:val="24"/>
          <w:szCs w:val="24"/>
        </w:rPr>
        <w:t xml:space="preserve">he code would constitute a legal safe harbor with respect to all </w:t>
      </w:r>
      <w:r w:rsidR="001C6D99">
        <w:rPr>
          <w:rFonts w:ascii="Times New Roman" w:hAnsi="Times New Roman" w:cs="Times New Roman"/>
          <w:kern w:val="24"/>
          <w:sz w:val="24"/>
          <w:szCs w:val="24"/>
        </w:rPr>
        <w:t xml:space="preserve">E.U. </w:t>
      </w:r>
      <w:r w:rsidR="00580F09">
        <w:rPr>
          <w:rFonts w:ascii="Times New Roman" w:hAnsi="Times New Roman" w:cs="Times New Roman"/>
          <w:kern w:val="24"/>
          <w:sz w:val="24"/>
          <w:szCs w:val="24"/>
        </w:rPr>
        <w:t>member states.</w:t>
      </w:r>
      <w:r w:rsidR="00847166">
        <w:rPr>
          <w:rFonts w:ascii="Times New Roman" w:hAnsi="Times New Roman" w:cs="Times New Roman"/>
          <w:kern w:val="24"/>
          <w:sz w:val="24"/>
          <w:szCs w:val="24"/>
        </w:rPr>
        <w:t xml:space="preserve"> </w:t>
      </w:r>
    </w:p>
    <w:p w:rsidR="00ED12F6" w:rsidRDefault="00B000F8"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The sector would then take the same code and submit it to an APEC Accountability Agent who would review it for compliance with the APEC Privacy Principles.</w:t>
      </w:r>
      <w:r w:rsidR="00847166">
        <w:rPr>
          <w:rFonts w:ascii="Times New Roman" w:hAnsi="Times New Roman" w:cs="Times New Roman"/>
          <w:kern w:val="24"/>
          <w:sz w:val="24"/>
          <w:szCs w:val="24"/>
        </w:rPr>
        <w:t xml:space="preserve"> </w:t>
      </w:r>
      <w:r>
        <w:rPr>
          <w:rFonts w:ascii="Times New Roman" w:hAnsi="Times New Roman" w:cs="Times New Roman"/>
          <w:kern w:val="24"/>
          <w:sz w:val="24"/>
          <w:szCs w:val="24"/>
        </w:rPr>
        <w:t>If the Agent approved the code, then it would constitute a legal safe har</w:t>
      </w:r>
      <w:r w:rsidR="00D5028E">
        <w:rPr>
          <w:rFonts w:ascii="Times New Roman" w:hAnsi="Times New Roman" w:cs="Times New Roman"/>
          <w:kern w:val="24"/>
          <w:sz w:val="24"/>
          <w:szCs w:val="24"/>
        </w:rPr>
        <w:t xml:space="preserve">bor (or something close to it) </w:t>
      </w:r>
      <w:r>
        <w:rPr>
          <w:rFonts w:ascii="Times New Roman" w:hAnsi="Times New Roman" w:cs="Times New Roman"/>
          <w:kern w:val="24"/>
          <w:sz w:val="24"/>
          <w:szCs w:val="24"/>
        </w:rPr>
        <w:t xml:space="preserve">with respect to the </w:t>
      </w:r>
      <w:r w:rsidR="00847166">
        <w:rPr>
          <w:rFonts w:ascii="Times New Roman" w:hAnsi="Times New Roman" w:cs="Times New Roman"/>
          <w:kern w:val="24"/>
          <w:sz w:val="24"/>
          <w:szCs w:val="24"/>
        </w:rPr>
        <w:t xml:space="preserve">twenty-one </w:t>
      </w:r>
      <w:r>
        <w:rPr>
          <w:rFonts w:ascii="Times New Roman" w:hAnsi="Times New Roman" w:cs="Times New Roman"/>
          <w:kern w:val="24"/>
          <w:sz w:val="24"/>
          <w:szCs w:val="24"/>
        </w:rPr>
        <w:t xml:space="preserve">APEC </w:t>
      </w:r>
      <w:r w:rsidR="00847166">
        <w:rPr>
          <w:rFonts w:ascii="Times New Roman" w:hAnsi="Times New Roman" w:cs="Times New Roman"/>
          <w:kern w:val="24"/>
          <w:sz w:val="24"/>
          <w:szCs w:val="24"/>
        </w:rPr>
        <w:t>member economies</w:t>
      </w:r>
      <w:r>
        <w:rPr>
          <w:rFonts w:ascii="Times New Roman" w:hAnsi="Times New Roman" w:cs="Times New Roman"/>
          <w:kern w:val="24"/>
          <w:sz w:val="24"/>
          <w:szCs w:val="24"/>
        </w:rPr>
        <w:t>, including the United States, China, Japan,</w:t>
      </w:r>
      <w:r w:rsidR="00847166">
        <w:rPr>
          <w:rFonts w:ascii="Times New Roman" w:hAnsi="Times New Roman" w:cs="Times New Roman"/>
          <w:kern w:val="24"/>
          <w:sz w:val="24"/>
          <w:szCs w:val="24"/>
        </w:rPr>
        <w:t xml:space="preserve"> </w:t>
      </w:r>
      <w:proofErr w:type="gramStart"/>
      <w:r w:rsidR="00847166">
        <w:rPr>
          <w:rFonts w:ascii="Times New Roman" w:hAnsi="Times New Roman" w:cs="Times New Roman"/>
          <w:kern w:val="24"/>
          <w:sz w:val="24"/>
          <w:szCs w:val="24"/>
        </w:rPr>
        <w:t>Russia</w:t>
      </w:r>
      <w:proofErr w:type="gramEnd"/>
      <w:r>
        <w:rPr>
          <w:rFonts w:ascii="Times New Roman" w:hAnsi="Times New Roman" w:cs="Times New Roman"/>
          <w:kern w:val="24"/>
          <w:sz w:val="24"/>
          <w:szCs w:val="24"/>
        </w:rPr>
        <w:t>.</w:t>
      </w:r>
      <w:r w:rsidR="00ED12F6">
        <w:rPr>
          <w:rFonts w:ascii="Times New Roman" w:hAnsi="Times New Roman" w:cs="Times New Roman"/>
          <w:kern w:val="24"/>
          <w:sz w:val="24"/>
          <w:szCs w:val="24"/>
        </w:rPr>
        <w:t xml:space="preserve"> </w:t>
      </w:r>
      <w:r w:rsidR="005D0958">
        <w:rPr>
          <w:rFonts w:ascii="Times New Roman" w:hAnsi="Times New Roman" w:cs="Times New Roman"/>
          <w:kern w:val="24"/>
          <w:sz w:val="24"/>
          <w:szCs w:val="24"/>
        </w:rPr>
        <w:t xml:space="preserve">Once this happened, </w:t>
      </w:r>
      <w:r w:rsidR="002D12CD">
        <w:rPr>
          <w:rFonts w:ascii="Times New Roman" w:hAnsi="Times New Roman" w:cs="Times New Roman"/>
          <w:kern w:val="24"/>
          <w:sz w:val="24"/>
          <w:szCs w:val="24"/>
        </w:rPr>
        <w:t xml:space="preserve">companies that followed the </w:t>
      </w:r>
      <w:r w:rsidR="005D0958">
        <w:rPr>
          <w:rFonts w:ascii="Times New Roman" w:hAnsi="Times New Roman" w:cs="Times New Roman"/>
          <w:kern w:val="24"/>
          <w:sz w:val="24"/>
          <w:szCs w:val="24"/>
        </w:rPr>
        <w:t xml:space="preserve">twice-approved </w:t>
      </w:r>
      <w:r w:rsidR="002D12CD">
        <w:rPr>
          <w:rFonts w:ascii="Times New Roman" w:hAnsi="Times New Roman" w:cs="Times New Roman"/>
          <w:kern w:val="24"/>
          <w:sz w:val="24"/>
          <w:szCs w:val="24"/>
        </w:rPr>
        <w:t xml:space="preserve">code </w:t>
      </w:r>
      <w:r w:rsidR="005D0958">
        <w:rPr>
          <w:rFonts w:ascii="Times New Roman" w:hAnsi="Times New Roman" w:cs="Times New Roman"/>
          <w:kern w:val="24"/>
          <w:sz w:val="24"/>
          <w:szCs w:val="24"/>
        </w:rPr>
        <w:t xml:space="preserve">could transfer data across borders with confidence that they were complying </w:t>
      </w:r>
      <w:r w:rsidR="002D12CD">
        <w:rPr>
          <w:rFonts w:ascii="Times New Roman" w:hAnsi="Times New Roman" w:cs="Times New Roman"/>
          <w:kern w:val="24"/>
          <w:sz w:val="24"/>
          <w:szCs w:val="24"/>
        </w:rPr>
        <w:t xml:space="preserve">with the laws of the most significant </w:t>
      </w:r>
      <w:r w:rsidR="00D5028E">
        <w:rPr>
          <w:rFonts w:ascii="Times New Roman" w:hAnsi="Times New Roman" w:cs="Times New Roman"/>
          <w:kern w:val="24"/>
          <w:sz w:val="24"/>
          <w:szCs w:val="24"/>
        </w:rPr>
        <w:t xml:space="preserve">European </w:t>
      </w:r>
      <w:r w:rsidR="002D12CD">
        <w:rPr>
          <w:rFonts w:ascii="Times New Roman" w:hAnsi="Times New Roman" w:cs="Times New Roman"/>
          <w:kern w:val="24"/>
          <w:sz w:val="24"/>
          <w:szCs w:val="24"/>
        </w:rPr>
        <w:t>and Asian</w:t>
      </w:r>
      <w:r w:rsidR="00D5028E">
        <w:rPr>
          <w:rFonts w:ascii="Times New Roman" w:hAnsi="Times New Roman" w:cs="Times New Roman"/>
          <w:kern w:val="24"/>
          <w:sz w:val="24"/>
          <w:szCs w:val="24"/>
        </w:rPr>
        <w:t>-Pacific</w:t>
      </w:r>
      <w:r w:rsidR="002D12CD">
        <w:rPr>
          <w:rFonts w:ascii="Times New Roman" w:hAnsi="Times New Roman" w:cs="Times New Roman"/>
          <w:kern w:val="24"/>
          <w:sz w:val="24"/>
          <w:szCs w:val="24"/>
        </w:rPr>
        <w:t xml:space="preserve"> nations.</w:t>
      </w:r>
      <w:r w:rsidR="00ED12F6">
        <w:rPr>
          <w:rFonts w:ascii="Times New Roman" w:hAnsi="Times New Roman" w:cs="Times New Roman"/>
          <w:kern w:val="24"/>
          <w:sz w:val="24"/>
          <w:szCs w:val="24"/>
        </w:rPr>
        <w:t xml:space="preserve"> </w:t>
      </w:r>
      <w:r w:rsidR="002D12CD">
        <w:rPr>
          <w:rFonts w:ascii="Times New Roman" w:hAnsi="Times New Roman" w:cs="Times New Roman"/>
          <w:kern w:val="24"/>
          <w:sz w:val="24"/>
          <w:szCs w:val="24"/>
        </w:rPr>
        <w:t>The code would constitute a nearly global set of cross-border privacy rules.</w:t>
      </w:r>
      <w:r w:rsidR="00D5028E">
        <w:rPr>
          <w:rStyle w:val="FootnoteReference"/>
          <w:rFonts w:ascii="Times New Roman" w:hAnsi="Times New Roman" w:cs="Times New Roman"/>
          <w:kern w:val="24"/>
          <w:sz w:val="24"/>
          <w:szCs w:val="24"/>
        </w:rPr>
        <w:footnoteReference w:id="140"/>
      </w:r>
    </w:p>
    <w:p w:rsidR="00342A2D" w:rsidRDefault="00C2048C"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Is such an approach realistic?  </w:t>
      </w:r>
      <w:r w:rsidR="00ED12F6">
        <w:rPr>
          <w:rFonts w:ascii="Times New Roman" w:hAnsi="Times New Roman" w:cs="Times New Roman"/>
          <w:kern w:val="24"/>
          <w:sz w:val="24"/>
          <w:szCs w:val="24"/>
        </w:rPr>
        <w:t xml:space="preserve"> </w:t>
      </w:r>
      <w:r w:rsidR="005D0958">
        <w:rPr>
          <w:rFonts w:ascii="Times New Roman" w:hAnsi="Times New Roman" w:cs="Times New Roman"/>
          <w:kern w:val="24"/>
          <w:sz w:val="24"/>
          <w:szCs w:val="24"/>
        </w:rPr>
        <w:t xml:space="preserve">To assess this it is important, first, to examine the </w:t>
      </w:r>
      <w:r w:rsidR="001C6D99">
        <w:rPr>
          <w:rFonts w:ascii="Times New Roman" w:hAnsi="Times New Roman" w:cs="Times New Roman"/>
          <w:kern w:val="24"/>
          <w:sz w:val="24"/>
          <w:szCs w:val="24"/>
        </w:rPr>
        <w:t xml:space="preserve">E.U. </w:t>
      </w:r>
      <w:r w:rsidR="005D0958">
        <w:rPr>
          <w:rFonts w:ascii="Times New Roman" w:hAnsi="Times New Roman" w:cs="Times New Roman"/>
          <w:kern w:val="24"/>
          <w:sz w:val="24"/>
          <w:szCs w:val="24"/>
        </w:rPr>
        <w:t>and APEC systems on the level of process.</w:t>
      </w:r>
      <w:r w:rsidR="00ED12F6">
        <w:rPr>
          <w:rFonts w:ascii="Times New Roman" w:hAnsi="Times New Roman" w:cs="Times New Roman"/>
          <w:kern w:val="24"/>
          <w:sz w:val="24"/>
          <w:szCs w:val="24"/>
        </w:rPr>
        <w:t xml:space="preserve"> </w:t>
      </w:r>
      <w:r w:rsidR="005D0958">
        <w:rPr>
          <w:rFonts w:ascii="Times New Roman" w:hAnsi="Times New Roman" w:cs="Times New Roman"/>
          <w:kern w:val="24"/>
          <w:sz w:val="24"/>
          <w:szCs w:val="24"/>
        </w:rPr>
        <w:t>Does each system have procedures in place that would allow it to approve a sector-based code?  If so, would this act truly create a legal safe harbor for companies that followed the approved code?</w:t>
      </w:r>
      <w:r w:rsidR="00ED12F6">
        <w:rPr>
          <w:rFonts w:ascii="Times New Roman" w:hAnsi="Times New Roman" w:cs="Times New Roman"/>
          <w:kern w:val="24"/>
          <w:sz w:val="24"/>
          <w:szCs w:val="24"/>
        </w:rPr>
        <w:t xml:space="preserve"> </w:t>
      </w:r>
      <w:r w:rsidR="005D0958">
        <w:rPr>
          <w:rFonts w:ascii="Times New Roman" w:hAnsi="Times New Roman" w:cs="Times New Roman"/>
          <w:kern w:val="24"/>
          <w:sz w:val="24"/>
          <w:szCs w:val="24"/>
        </w:rPr>
        <w:t xml:space="preserve">It is also important to examine </w:t>
      </w:r>
      <w:r w:rsidR="00342A2D">
        <w:rPr>
          <w:rFonts w:ascii="Times New Roman" w:hAnsi="Times New Roman" w:cs="Times New Roman"/>
          <w:kern w:val="24"/>
          <w:sz w:val="24"/>
          <w:szCs w:val="24"/>
        </w:rPr>
        <w:t xml:space="preserve">the </w:t>
      </w:r>
      <w:r w:rsidR="001C6D99">
        <w:rPr>
          <w:rFonts w:ascii="Times New Roman" w:hAnsi="Times New Roman" w:cs="Times New Roman"/>
          <w:kern w:val="24"/>
          <w:sz w:val="24"/>
          <w:szCs w:val="24"/>
        </w:rPr>
        <w:t xml:space="preserve">E.U. </w:t>
      </w:r>
      <w:r w:rsidR="00342A2D">
        <w:rPr>
          <w:rFonts w:ascii="Times New Roman" w:hAnsi="Times New Roman" w:cs="Times New Roman"/>
          <w:kern w:val="24"/>
          <w:sz w:val="24"/>
          <w:szCs w:val="24"/>
        </w:rPr>
        <w:t xml:space="preserve">and APEC </w:t>
      </w:r>
      <w:r w:rsidR="005D0958">
        <w:rPr>
          <w:rFonts w:ascii="Times New Roman" w:hAnsi="Times New Roman" w:cs="Times New Roman"/>
          <w:kern w:val="24"/>
          <w:sz w:val="24"/>
          <w:szCs w:val="24"/>
        </w:rPr>
        <w:t>systems</w:t>
      </w:r>
      <w:r w:rsidR="00D5028E">
        <w:rPr>
          <w:rFonts w:ascii="Times New Roman" w:hAnsi="Times New Roman" w:cs="Times New Roman"/>
          <w:kern w:val="24"/>
          <w:sz w:val="24"/>
          <w:szCs w:val="24"/>
        </w:rPr>
        <w:t xml:space="preserve"> with respect to substance</w:t>
      </w:r>
      <w:r w:rsidR="005D0958">
        <w:rPr>
          <w:rFonts w:ascii="Times New Roman" w:hAnsi="Times New Roman" w:cs="Times New Roman"/>
          <w:kern w:val="24"/>
          <w:sz w:val="24"/>
          <w:szCs w:val="24"/>
        </w:rPr>
        <w:t>.</w:t>
      </w:r>
      <w:r w:rsidR="00ED12F6">
        <w:rPr>
          <w:rFonts w:ascii="Times New Roman" w:hAnsi="Times New Roman" w:cs="Times New Roman"/>
          <w:kern w:val="24"/>
          <w:sz w:val="24"/>
          <w:szCs w:val="24"/>
        </w:rPr>
        <w:t xml:space="preserve"> </w:t>
      </w:r>
      <w:r w:rsidR="002E391D">
        <w:rPr>
          <w:rFonts w:ascii="Times New Roman" w:hAnsi="Times New Roman" w:cs="Times New Roman"/>
          <w:kern w:val="24"/>
          <w:sz w:val="24"/>
          <w:szCs w:val="24"/>
        </w:rPr>
        <w:t xml:space="preserve">Are </w:t>
      </w:r>
      <w:r w:rsidR="00D5028E">
        <w:rPr>
          <w:rFonts w:ascii="Times New Roman" w:hAnsi="Times New Roman" w:cs="Times New Roman"/>
          <w:kern w:val="24"/>
          <w:sz w:val="24"/>
          <w:szCs w:val="24"/>
        </w:rPr>
        <w:t xml:space="preserve">these systems’ privacy </w:t>
      </w:r>
      <w:r w:rsidR="002E391D">
        <w:rPr>
          <w:rFonts w:ascii="Times New Roman" w:hAnsi="Times New Roman" w:cs="Times New Roman"/>
          <w:kern w:val="24"/>
          <w:sz w:val="24"/>
          <w:szCs w:val="24"/>
        </w:rPr>
        <w:t xml:space="preserve">requirements sufficiently congruent that a single code could </w:t>
      </w:r>
      <w:r w:rsidR="00342A2D">
        <w:rPr>
          <w:rFonts w:ascii="Times New Roman" w:hAnsi="Times New Roman" w:cs="Times New Roman"/>
          <w:kern w:val="24"/>
          <w:sz w:val="24"/>
          <w:szCs w:val="24"/>
        </w:rPr>
        <w:t>integrate them into a single set of rules?</w:t>
      </w:r>
      <w:r w:rsidR="00ED12F6">
        <w:rPr>
          <w:rFonts w:ascii="Times New Roman" w:hAnsi="Times New Roman" w:cs="Times New Roman"/>
          <w:kern w:val="24"/>
          <w:sz w:val="24"/>
          <w:szCs w:val="24"/>
        </w:rPr>
        <w:t xml:space="preserve"> </w:t>
      </w:r>
      <w:r w:rsidR="00342A2D">
        <w:rPr>
          <w:rFonts w:ascii="Times New Roman" w:hAnsi="Times New Roman" w:cs="Times New Roman"/>
          <w:kern w:val="24"/>
          <w:sz w:val="24"/>
          <w:szCs w:val="24"/>
        </w:rPr>
        <w:t>Or do they conflict with one another such that it is not possible to combine them in this way?</w:t>
      </w:r>
      <w:r w:rsidR="00ED12F6">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The remainder of this section will analyze the </w:t>
      </w:r>
      <w:r w:rsidR="00342A2D">
        <w:rPr>
          <w:rFonts w:ascii="Times New Roman" w:hAnsi="Times New Roman" w:cs="Times New Roman"/>
          <w:kern w:val="24"/>
          <w:sz w:val="24"/>
          <w:szCs w:val="24"/>
        </w:rPr>
        <w:t xml:space="preserve">proposed strategy on the levels of </w:t>
      </w:r>
      <w:r w:rsidR="003B6444">
        <w:rPr>
          <w:rFonts w:ascii="Times New Roman" w:hAnsi="Times New Roman" w:cs="Times New Roman"/>
          <w:kern w:val="24"/>
          <w:sz w:val="24"/>
          <w:szCs w:val="24"/>
        </w:rPr>
        <w:t xml:space="preserve">both </w:t>
      </w:r>
      <w:r w:rsidR="00342A2D">
        <w:rPr>
          <w:rFonts w:ascii="Times New Roman" w:hAnsi="Times New Roman" w:cs="Times New Roman"/>
          <w:kern w:val="24"/>
          <w:sz w:val="24"/>
          <w:szCs w:val="24"/>
        </w:rPr>
        <w:t>process and substance.</w:t>
      </w:r>
    </w:p>
    <w:p w:rsidR="007F4E9A" w:rsidRDefault="007F4E9A" w:rsidP="001610E3">
      <w:pPr>
        <w:autoSpaceDE w:val="0"/>
        <w:autoSpaceDN w:val="0"/>
        <w:adjustRightInd w:val="0"/>
        <w:spacing w:after="0" w:line="480" w:lineRule="auto"/>
        <w:ind w:firstLine="720"/>
        <w:rPr>
          <w:rFonts w:ascii="Times New Roman" w:hAnsi="Times New Roman" w:cs="Times New Roman"/>
          <w:kern w:val="24"/>
          <w:sz w:val="24"/>
          <w:szCs w:val="24"/>
        </w:rPr>
      </w:pPr>
    </w:p>
    <w:p w:rsidR="007F4E9A" w:rsidRDefault="00ED12F6" w:rsidP="00BC5FAB">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B.  </w:t>
      </w:r>
      <w:r w:rsidR="00342A2D" w:rsidRPr="00ED12F6">
        <w:rPr>
          <w:rFonts w:ascii="Times New Roman" w:hAnsi="Times New Roman" w:cs="Times New Roman"/>
          <w:kern w:val="24"/>
          <w:sz w:val="24"/>
          <w:szCs w:val="24"/>
          <w:u w:val="single"/>
        </w:rPr>
        <w:t>Global Codes: Process</w:t>
      </w:r>
    </w:p>
    <w:p w:rsidR="007F4E9A" w:rsidRDefault="00D5028E"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Do t</w:t>
      </w:r>
      <w:r w:rsidR="003B6444">
        <w:rPr>
          <w:rFonts w:ascii="Times New Roman" w:hAnsi="Times New Roman" w:cs="Times New Roman"/>
          <w:kern w:val="24"/>
          <w:sz w:val="24"/>
          <w:szCs w:val="24"/>
        </w:rPr>
        <w:t xml:space="preserve">he </w:t>
      </w:r>
      <w:r w:rsidR="001C6D99">
        <w:rPr>
          <w:rFonts w:ascii="Times New Roman" w:hAnsi="Times New Roman" w:cs="Times New Roman"/>
          <w:kern w:val="24"/>
          <w:sz w:val="24"/>
          <w:szCs w:val="24"/>
        </w:rPr>
        <w:t xml:space="preserve">E.U. </w:t>
      </w:r>
      <w:r w:rsidR="003B6444">
        <w:rPr>
          <w:rFonts w:ascii="Times New Roman" w:hAnsi="Times New Roman" w:cs="Times New Roman"/>
          <w:kern w:val="24"/>
          <w:sz w:val="24"/>
          <w:szCs w:val="24"/>
        </w:rPr>
        <w:t>and APEC systems have a process for approving sector-based codes of conduct?</w:t>
      </w:r>
      <w:r w:rsidR="007F4E9A">
        <w:rPr>
          <w:rFonts w:ascii="Times New Roman" w:hAnsi="Times New Roman" w:cs="Times New Roman"/>
          <w:kern w:val="24"/>
          <w:sz w:val="24"/>
          <w:szCs w:val="24"/>
        </w:rPr>
        <w:t xml:space="preserve"> </w:t>
      </w:r>
    </w:p>
    <w:p w:rsidR="007F4E9A" w:rsidRDefault="007F4E9A" w:rsidP="00BC5FAB">
      <w:pPr>
        <w:autoSpaceDE w:val="0"/>
        <w:autoSpaceDN w:val="0"/>
        <w:adjustRightInd w:val="0"/>
        <w:spacing w:after="0" w:line="480" w:lineRule="auto"/>
        <w:ind w:left="720"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1.  </w:t>
      </w:r>
      <w:r w:rsidR="001C6D99">
        <w:rPr>
          <w:rFonts w:ascii="Times New Roman" w:hAnsi="Times New Roman" w:cs="Times New Roman"/>
          <w:kern w:val="24"/>
          <w:sz w:val="24"/>
          <w:szCs w:val="24"/>
        </w:rPr>
        <w:t xml:space="preserve">E.U. </w:t>
      </w:r>
      <w:r w:rsidR="000E0533">
        <w:rPr>
          <w:rFonts w:ascii="Times New Roman" w:hAnsi="Times New Roman" w:cs="Times New Roman"/>
          <w:kern w:val="24"/>
          <w:sz w:val="24"/>
          <w:szCs w:val="24"/>
        </w:rPr>
        <w:t>approval</w:t>
      </w:r>
    </w:p>
    <w:p w:rsidR="00565A04" w:rsidRDefault="003B6444"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In seeking to answer this question with respect to the </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 xml:space="preserve">system, it is important to look both at </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law as it exists today</w:t>
      </w:r>
      <w:r w:rsidR="00565A04">
        <w:rPr>
          <w:rFonts w:ascii="Times New Roman" w:hAnsi="Times New Roman" w:cs="Times New Roman"/>
          <w:kern w:val="24"/>
          <w:sz w:val="24"/>
          <w:szCs w:val="24"/>
        </w:rPr>
        <w:t xml:space="preserve"> (</w:t>
      </w:r>
      <w:r>
        <w:rPr>
          <w:rFonts w:ascii="Times New Roman" w:hAnsi="Times New Roman" w:cs="Times New Roman"/>
          <w:kern w:val="24"/>
          <w:sz w:val="24"/>
          <w:szCs w:val="24"/>
        </w:rPr>
        <w:t>i.e. the 1995 Data Protection Directive</w:t>
      </w:r>
      <w:r w:rsidR="00565A04">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and as it is likely to be in a few </w:t>
      </w:r>
      <w:proofErr w:type="spellStart"/>
      <w:r>
        <w:rPr>
          <w:rFonts w:ascii="Times New Roman" w:hAnsi="Times New Roman" w:cs="Times New Roman"/>
          <w:kern w:val="24"/>
          <w:sz w:val="24"/>
          <w:szCs w:val="24"/>
        </w:rPr>
        <w:t>years time</w:t>
      </w:r>
      <w:proofErr w:type="spellEnd"/>
      <w:r w:rsidR="00565A04">
        <w:rPr>
          <w:rFonts w:ascii="Times New Roman" w:hAnsi="Times New Roman" w:cs="Times New Roman"/>
          <w:kern w:val="24"/>
          <w:sz w:val="24"/>
          <w:szCs w:val="24"/>
        </w:rPr>
        <w:t xml:space="preserve"> (</w:t>
      </w:r>
      <w:r>
        <w:rPr>
          <w:rFonts w:ascii="Times New Roman" w:hAnsi="Times New Roman" w:cs="Times New Roman"/>
          <w:kern w:val="24"/>
          <w:sz w:val="24"/>
          <w:szCs w:val="24"/>
        </w:rPr>
        <w:t>i.e. the proposed General Data Protection Regulation</w:t>
      </w:r>
      <w:r w:rsidR="00565A04">
        <w:rPr>
          <w:rFonts w:ascii="Times New Roman" w:hAnsi="Times New Roman" w:cs="Times New Roman"/>
          <w:kern w:val="24"/>
          <w:sz w:val="24"/>
          <w:szCs w:val="24"/>
        </w:rPr>
        <w:t>)</w:t>
      </w:r>
      <w:r>
        <w:rPr>
          <w:rFonts w:ascii="Times New Roman" w:hAnsi="Times New Roman" w:cs="Times New Roman"/>
          <w:kern w:val="24"/>
          <w:sz w:val="24"/>
          <w:szCs w:val="24"/>
        </w:rPr>
        <w:t>.</w:t>
      </w:r>
      <w:r w:rsidR="007F4E9A">
        <w:rPr>
          <w:rFonts w:ascii="Times New Roman" w:hAnsi="Times New Roman" w:cs="Times New Roman"/>
          <w:kern w:val="24"/>
          <w:sz w:val="24"/>
          <w:szCs w:val="24"/>
        </w:rPr>
        <w:t xml:space="preserve"> </w:t>
      </w:r>
      <w:r w:rsidR="00565A04">
        <w:rPr>
          <w:rFonts w:ascii="Times New Roman" w:hAnsi="Times New Roman" w:cs="Times New Roman"/>
          <w:kern w:val="24"/>
          <w:sz w:val="24"/>
          <w:szCs w:val="24"/>
        </w:rPr>
        <w:t xml:space="preserve">Under either scenario, </w:t>
      </w:r>
      <w:r w:rsidR="001C6D99">
        <w:rPr>
          <w:rFonts w:ascii="Times New Roman" w:hAnsi="Times New Roman" w:cs="Times New Roman"/>
          <w:kern w:val="24"/>
          <w:sz w:val="24"/>
          <w:szCs w:val="24"/>
        </w:rPr>
        <w:t xml:space="preserve">E.U. </w:t>
      </w:r>
      <w:r w:rsidR="00565A04">
        <w:rPr>
          <w:rFonts w:ascii="Times New Roman" w:hAnsi="Times New Roman" w:cs="Times New Roman"/>
          <w:kern w:val="24"/>
          <w:sz w:val="24"/>
          <w:szCs w:val="24"/>
        </w:rPr>
        <w:t xml:space="preserve">law should offer a clear mechanism for evaluating sector-based codes that, if approved, will constitute a legal safe harbor with respect to all </w:t>
      </w:r>
      <w:r w:rsidR="001C6D99">
        <w:rPr>
          <w:rFonts w:ascii="Times New Roman" w:hAnsi="Times New Roman" w:cs="Times New Roman"/>
          <w:kern w:val="24"/>
          <w:sz w:val="24"/>
          <w:szCs w:val="24"/>
        </w:rPr>
        <w:t xml:space="preserve">E.U. </w:t>
      </w:r>
      <w:r w:rsidR="00565A04">
        <w:rPr>
          <w:rFonts w:ascii="Times New Roman" w:hAnsi="Times New Roman" w:cs="Times New Roman"/>
          <w:kern w:val="24"/>
          <w:sz w:val="24"/>
          <w:szCs w:val="24"/>
        </w:rPr>
        <w:t>member nations.</w:t>
      </w:r>
    </w:p>
    <w:p w:rsidR="007F4E9A" w:rsidRDefault="007F4E9A" w:rsidP="001610E3">
      <w:pPr>
        <w:autoSpaceDE w:val="0"/>
        <w:autoSpaceDN w:val="0"/>
        <w:adjustRightInd w:val="0"/>
        <w:spacing w:after="0" w:line="480" w:lineRule="auto"/>
        <w:rPr>
          <w:rFonts w:ascii="Times New Roman" w:hAnsi="Times New Roman" w:cs="Times New Roman"/>
          <w:kern w:val="24"/>
          <w:sz w:val="24"/>
          <w:szCs w:val="24"/>
        </w:rPr>
      </w:pPr>
    </w:p>
    <w:p w:rsidR="007F4E9A" w:rsidRDefault="007F4E9A" w:rsidP="00BC5FAB">
      <w:pPr>
        <w:autoSpaceDE w:val="0"/>
        <w:autoSpaceDN w:val="0"/>
        <w:adjustRightInd w:val="0"/>
        <w:spacing w:after="0" w:line="480" w:lineRule="auto"/>
        <w:ind w:left="1440" w:firstLine="720"/>
        <w:rPr>
          <w:rFonts w:ascii="Times New Roman" w:hAnsi="Times New Roman" w:cs="Times New Roman"/>
          <w:kern w:val="24"/>
          <w:sz w:val="24"/>
          <w:szCs w:val="24"/>
        </w:rPr>
      </w:pPr>
      <w:proofErr w:type="gramStart"/>
      <w:r>
        <w:rPr>
          <w:rFonts w:ascii="Times New Roman" w:hAnsi="Times New Roman" w:cs="Times New Roman"/>
          <w:kern w:val="24"/>
          <w:sz w:val="24"/>
          <w:szCs w:val="24"/>
        </w:rPr>
        <w:t xml:space="preserve">a.  </w:t>
      </w:r>
      <w:r w:rsidR="00565A04">
        <w:rPr>
          <w:rFonts w:ascii="Times New Roman" w:hAnsi="Times New Roman" w:cs="Times New Roman"/>
          <w:kern w:val="24"/>
          <w:sz w:val="24"/>
          <w:szCs w:val="24"/>
        </w:rPr>
        <w:t>The</w:t>
      </w:r>
      <w:proofErr w:type="gramEnd"/>
      <w:r w:rsidR="00565A04">
        <w:rPr>
          <w:rFonts w:ascii="Times New Roman" w:hAnsi="Times New Roman" w:cs="Times New Roman"/>
          <w:kern w:val="24"/>
          <w:sz w:val="24"/>
          <w:szCs w:val="24"/>
        </w:rPr>
        <w:t xml:space="preserve"> 1995 Data Protection Directive</w:t>
      </w:r>
    </w:p>
    <w:p w:rsidR="00EA1287" w:rsidRDefault="00EA1287"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Article 27 of the 1995 Directive expressly </w:t>
      </w:r>
      <w:r w:rsidR="00AF1AC6">
        <w:rPr>
          <w:rFonts w:ascii="Times New Roman" w:hAnsi="Times New Roman" w:cs="Times New Roman"/>
          <w:kern w:val="24"/>
          <w:sz w:val="24"/>
          <w:szCs w:val="24"/>
        </w:rPr>
        <w:t>authorizes</w:t>
      </w:r>
      <w:r>
        <w:rPr>
          <w:rFonts w:ascii="Times New Roman" w:hAnsi="Times New Roman" w:cs="Times New Roman"/>
          <w:kern w:val="24"/>
          <w:sz w:val="24"/>
          <w:szCs w:val="24"/>
        </w:rPr>
        <w:t xml:space="preserve"> “</w:t>
      </w:r>
      <w:r w:rsidR="00AF1AC6">
        <w:rPr>
          <w:rFonts w:ascii="Times New Roman" w:hAnsi="Times New Roman" w:cs="Times New Roman"/>
          <w:kern w:val="24"/>
          <w:sz w:val="24"/>
          <w:szCs w:val="24"/>
        </w:rPr>
        <w:t>trade associations</w:t>
      </w:r>
      <w:r>
        <w:rPr>
          <w:rFonts w:ascii="Times New Roman" w:hAnsi="Times New Roman" w:cs="Times New Roman"/>
          <w:kern w:val="24"/>
          <w:sz w:val="24"/>
          <w:szCs w:val="24"/>
        </w:rPr>
        <w:t xml:space="preserve">” representing a branch of industry to draft a code of conduct and submit it to the Article 29 Working </w:t>
      </w:r>
      <w:r w:rsidR="00AF1AC6">
        <w:rPr>
          <w:rFonts w:ascii="Times New Roman" w:hAnsi="Times New Roman" w:cs="Times New Roman"/>
          <w:kern w:val="24"/>
          <w:sz w:val="24"/>
          <w:szCs w:val="24"/>
        </w:rPr>
        <w:t>Party</w:t>
      </w:r>
      <w:r>
        <w:rPr>
          <w:rFonts w:ascii="Times New Roman" w:hAnsi="Times New Roman" w:cs="Times New Roman"/>
          <w:kern w:val="24"/>
          <w:sz w:val="24"/>
          <w:szCs w:val="24"/>
        </w:rPr>
        <w:t>.</w:t>
      </w:r>
      <w:r w:rsidR="00DD3DA2">
        <w:rPr>
          <w:rStyle w:val="FootnoteReference"/>
          <w:rFonts w:ascii="Times New Roman" w:hAnsi="Times New Roman" w:cs="Times New Roman"/>
          <w:kern w:val="24"/>
          <w:sz w:val="24"/>
          <w:szCs w:val="24"/>
        </w:rPr>
        <w:footnoteReference w:id="141"/>
      </w:r>
    </w:p>
    <w:p w:rsidR="00AF1AC6" w:rsidRPr="008046AB" w:rsidRDefault="00AF1AC6"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kern w:val="24"/>
          <w:sz w:val="24"/>
          <w:szCs w:val="24"/>
        </w:rPr>
        <w:t xml:space="preserve">The Working Party “shall </w:t>
      </w:r>
      <w:proofErr w:type="gramStart"/>
      <w:r>
        <w:rPr>
          <w:rFonts w:ascii="Times New Roman" w:hAnsi="Times New Roman" w:cs="Times New Roman"/>
          <w:kern w:val="24"/>
          <w:sz w:val="24"/>
          <w:szCs w:val="24"/>
        </w:rPr>
        <w:t>determine .</w:t>
      </w:r>
      <w:proofErr w:type="gramEnd"/>
      <w:r>
        <w:rPr>
          <w:rFonts w:ascii="Times New Roman" w:hAnsi="Times New Roman" w:cs="Times New Roman"/>
          <w:kern w:val="24"/>
          <w:sz w:val="24"/>
          <w:szCs w:val="24"/>
        </w:rPr>
        <w:t xml:space="preserve">  .  . </w:t>
      </w:r>
      <w:proofErr w:type="gramStart"/>
      <w:r>
        <w:rPr>
          <w:rFonts w:ascii="Times New Roman" w:hAnsi="Times New Roman" w:cs="Times New Roman"/>
          <w:kern w:val="24"/>
          <w:sz w:val="24"/>
          <w:szCs w:val="24"/>
        </w:rPr>
        <w:t>whether</w:t>
      </w:r>
      <w:proofErr w:type="gramEnd"/>
      <w:r>
        <w:rPr>
          <w:rFonts w:ascii="Times New Roman" w:hAnsi="Times New Roman" w:cs="Times New Roman"/>
          <w:kern w:val="24"/>
          <w:sz w:val="24"/>
          <w:szCs w:val="24"/>
        </w:rPr>
        <w:t xml:space="preserve"> the drafts submitted to it are in accordance with the national provisions adopted pursuant to this Directive.”</w:t>
      </w:r>
      <w:r w:rsidR="008046AB" w:rsidRPr="008046AB">
        <w:rPr>
          <w:rStyle w:val="FootnoteReference"/>
          <w:rFonts w:ascii="Times New Roman" w:hAnsi="Times New Roman" w:cs="Times New Roman"/>
          <w:kern w:val="24"/>
          <w:sz w:val="24"/>
          <w:szCs w:val="24"/>
        </w:rPr>
        <w:t xml:space="preserve"> </w:t>
      </w:r>
      <w:r w:rsidR="008046AB">
        <w:rPr>
          <w:rStyle w:val="FootnoteReference"/>
          <w:rFonts w:ascii="Times New Roman" w:hAnsi="Times New Roman" w:cs="Times New Roman"/>
          <w:kern w:val="24"/>
          <w:sz w:val="24"/>
          <w:szCs w:val="24"/>
        </w:rPr>
        <w:footnoteReference w:id="142"/>
      </w:r>
      <w:r w:rsidR="008046AB">
        <w:rPr>
          <w:rFonts w:ascii="Times New Roman" w:hAnsi="Times New Roman" w:cs="Times New Roman"/>
          <w:kern w:val="24"/>
          <w:sz w:val="24"/>
          <w:szCs w:val="24"/>
        </w:rPr>
        <w:t xml:space="preserve"> </w:t>
      </w:r>
      <w:r>
        <w:rPr>
          <w:rFonts w:ascii="Times New Roman" w:hAnsi="Times New Roman" w:cs="Times New Roman"/>
          <w:kern w:val="24"/>
          <w:sz w:val="24"/>
          <w:szCs w:val="24"/>
        </w:rPr>
        <w:t>If they are, the Directive instructs the Working Part to “</w:t>
      </w:r>
      <w:proofErr w:type="gramStart"/>
      <w:r>
        <w:rPr>
          <w:rFonts w:ascii="Times New Roman" w:hAnsi="Times New Roman" w:cs="Times New Roman"/>
          <w:kern w:val="24"/>
          <w:sz w:val="24"/>
          <w:szCs w:val="24"/>
        </w:rPr>
        <w:t>approve[</w:t>
      </w:r>
      <w:proofErr w:type="gramEnd"/>
      <w:r>
        <w:rPr>
          <w:rFonts w:ascii="Times New Roman" w:hAnsi="Times New Roman" w:cs="Times New Roman"/>
          <w:kern w:val="24"/>
          <w:sz w:val="24"/>
          <w:szCs w:val="24"/>
        </w:rPr>
        <w:t>]” the code, and the European Commission to publicize this approval.</w:t>
      </w:r>
      <w:r>
        <w:rPr>
          <w:rStyle w:val="FootnoteReference"/>
          <w:rFonts w:ascii="Times New Roman" w:hAnsi="Times New Roman" w:cs="Times New Roman"/>
          <w:kern w:val="24"/>
          <w:sz w:val="24"/>
          <w:szCs w:val="24"/>
        </w:rPr>
        <w:footnoteReference w:id="143"/>
      </w:r>
      <w:r w:rsidR="008046AB">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Such an approved, </w:t>
      </w:r>
      <w:r w:rsidR="001C6D99">
        <w:rPr>
          <w:rFonts w:ascii="Times New Roman" w:hAnsi="Times New Roman" w:cs="Times New Roman"/>
          <w:kern w:val="24"/>
          <w:sz w:val="24"/>
          <w:szCs w:val="24"/>
        </w:rPr>
        <w:t>EU</w:t>
      </w:r>
      <w:r>
        <w:rPr>
          <w:rFonts w:ascii="Times New Roman" w:hAnsi="Times New Roman" w:cs="Times New Roman"/>
          <w:kern w:val="24"/>
          <w:sz w:val="24"/>
          <w:szCs w:val="24"/>
        </w:rPr>
        <w:t>-wide code is known as a “Community Code.”</w:t>
      </w:r>
      <w:r w:rsidR="008046AB">
        <w:rPr>
          <w:rFonts w:ascii="Times New Roman" w:hAnsi="Times New Roman" w:cs="Times New Roman"/>
          <w:kern w:val="24"/>
          <w:sz w:val="24"/>
          <w:szCs w:val="24"/>
        </w:rPr>
        <w:t xml:space="preserve">  A Community Code differs from a BCR in that it constitutes a legal safe harbor wi</w:t>
      </w:r>
      <w:r w:rsidR="001F30E6">
        <w:rPr>
          <w:rFonts w:ascii="Times New Roman" w:hAnsi="Times New Roman" w:cs="Times New Roman"/>
          <w:kern w:val="24"/>
          <w:sz w:val="24"/>
          <w:szCs w:val="24"/>
        </w:rPr>
        <w:t>th respect to the laws of all 28</w:t>
      </w:r>
      <w:r w:rsidR="008046AB">
        <w:rPr>
          <w:rFonts w:ascii="Times New Roman" w:hAnsi="Times New Roman" w:cs="Times New Roman"/>
          <w:kern w:val="24"/>
          <w:sz w:val="24"/>
          <w:szCs w:val="24"/>
        </w:rPr>
        <w:t xml:space="preserve"> </w:t>
      </w:r>
      <w:r w:rsidR="001C6D99">
        <w:rPr>
          <w:rFonts w:ascii="Times New Roman" w:hAnsi="Times New Roman" w:cs="Times New Roman"/>
          <w:kern w:val="24"/>
          <w:sz w:val="24"/>
          <w:szCs w:val="24"/>
        </w:rPr>
        <w:t xml:space="preserve">E.U. </w:t>
      </w:r>
      <w:r w:rsidR="008046AB">
        <w:rPr>
          <w:rFonts w:ascii="Times New Roman" w:hAnsi="Times New Roman" w:cs="Times New Roman"/>
          <w:kern w:val="24"/>
          <w:sz w:val="24"/>
          <w:szCs w:val="24"/>
        </w:rPr>
        <w:t xml:space="preserve">Member States, whereas BCRs ensure compliance only with the Article 25 “adequacy” requirement.  It also differs in that a </w:t>
      </w:r>
      <w:r>
        <w:rPr>
          <w:rFonts w:ascii="Times New Roman" w:hAnsi="Times New Roman" w:cs="Times New Roman"/>
          <w:kern w:val="24"/>
          <w:sz w:val="24"/>
          <w:szCs w:val="24"/>
        </w:rPr>
        <w:t xml:space="preserve">Community Code is proposed by and applicable to an industry </w:t>
      </w:r>
      <w:r>
        <w:rPr>
          <w:rFonts w:ascii="Times New Roman" w:hAnsi="Times New Roman" w:cs="Times New Roman"/>
          <w:i/>
          <w:kern w:val="24"/>
          <w:sz w:val="24"/>
          <w:szCs w:val="24"/>
        </w:rPr>
        <w:t>sector</w:t>
      </w:r>
      <w:r>
        <w:rPr>
          <w:rFonts w:ascii="Times New Roman" w:hAnsi="Times New Roman" w:cs="Times New Roman"/>
          <w:kern w:val="24"/>
          <w:sz w:val="24"/>
          <w:szCs w:val="24"/>
        </w:rPr>
        <w:t xml:space="preserve">, whereas a BCR is proposed by and applicable to an individual </w:t>
      </w:r>
      <w:r>
        <w:rPr>
          <w:rFonts w:ascii="Times New Roman" w:hAnsi="Times New Roman" w:cs="Times New Roman"/>
          <w:i/>
          <w:kern w:val="24"/>
          <w:sz w:val="24"/>
          <w:szCs w:val="24"/>
        </w:rPr>
        <w:t>company.</w:t>
      </w:r>
      <w:r w:rsidR="008046AB">
        <w:rPr>
          <w:rFonts w:ascii="Times New Roman" w:hAnsi="Times New Roman" w:cs="Times New Roman"/>
          <w:kern w:val="24"/>
          <w:sz w:val="24"/>
          <w:szCs w:val="24"/>
        </w:rPr>
        <w:t xml:space="preserve">  Given that a Community Code represents compliance with the data protection laws of all </w:t>
      </w:r>
      <w:r w:rsidR="001C6D99">
        <w:rPr>
          <w:rFonts w:ascii="Times New Roman" w:hAnsi="Times New Roman" w:cs="Times New Roman"/>
          <w:kern w:val="24"/>
          <w:sz w:val="24"/>
          <w:szCs w:val="24"/>
        </w:rPr>
        <w:t xml:space="preserve">E.U. </w:t>
      </w:r>
      <w:r w:rsidR="008046AB">
        <w:rPr>
          <w:rFonts w:ascii="Times New Roman" w:hAnsi="Times New Roman" w:cs="Times New Roman"/>
          <w:kern w:val="24"/>
          <w:sz w:val="24"/>
          <w:szCs w:val="24"/>
        </w:rPr>
        <w:t xml:space="preserve">member states, a multi-national company that followed a Community Code throughout its operations should also meet the Article 25 “adequacy” test.  So long </w:t>
      </w:r>
      <w:proofErr w:type="gramStart"/>
      <w:r w:rsidR="008046AB">
        <w:rPr>
          <w:rFonts w:ascii="Times New Roman" w:hAnsi="Times New Roman" w:cs="Times New Roman"/>
          <w:kern w:val="24"/>
          <w:sz w:val="24"/>
          <w:szCs w:val="24"/>
        </w:rPr>
        <w:t>all of its</w:t>
      </w:r>
      <w:proofErr w:type="gramEnd"/>
      <w:r w:rsidR="008046AB">
        <w:rPr>
          <w:rFonts w:ascii="Times New Roman" w:hAnsi="Times New Roman" w:cs="Times New Roman"/>
          <w:kern w:val="24"/>
          <w:sz w:val="24"/>
          <w:szCs w:val="24"/>
        </w:rPr>
        <w:t xml:space="preserve"> corporate group complied with the Code, it should be able freely to transfer data outside the EU.  </w:t>
      </w:r>
    </w:p>
    <w:p w:rsidR="004C782F" w:rsidRDefault="00AF1AC6"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The Federation of European Direct </w:t>
      </w:r>
      <w:r w:rsidR="00871448">
        <w:rPr>
          <w:rFonts w:ascii="Times New Roman" w:hAnsi="Times New Roman" w:cs="Times New Roman"/>
          <w:kern w:val="24"/>
          <w:sz w:val="24"/>
          <w:szCs w:val="24"/>
        </w:rPr>
        <w:t xml:space="preserve">and Interactive </w:t>
      </w:r>
      <w:r>
        <w:rPr>
          <w:rFonts w:ascii="Times New Roman" w:hAnsi="Times New Roman" w:cs="Times New Roman"/>
          <w:kern w:val="24"/>
          <w:sz w:val="24"/>
          <w:szCs w:val="24"/>
        </w:rPr>
        <w:t>Marketing Associations</w:t>
      </w:r>
      <w:r w:rsidR="00E9404B">
        <w:rPr>
          <w:rFonts w:ascii="Times New Roman" w:hAnsi="Times New Roman" w:cs="Times New Roman"/>
          <w:kern w:val="24"/>
          <w:sz w:val="24"/>
          <w:szCs w:val="24"/>
        </w:rPr>
        <w:t xml:space="preserve"> (FEDMA) Community Code provides an example o</w:t>
      </w:r>
      <w:r w:rsidR="008046AB">
        <w:rPr>
          <w:rFonts w:ascii="Times New Roman" w:hAnsi="Times New Roman" w:cs="Times New Roman"/>
          <w:kern w:val="24"/>
          <w:sz w:val="24"/>
          <w:szCs w:val="24"/>
        </w:rPr>
        <w:t xml:space="preserve">f how this process would work. </w:t>
      </w:r>
      <w:r w:rsidR="00E9404B">
        <w:rPr>
          <w:rFonts w:ascii="Times New Roman" w:hAnsi="Times New Roman" w:cs="Times New Roman"/>
          <w:kern w:val="24"/>
          <w:sz w:val="24"/>
          <w:szCs w:val="24"/>
        </w:rPr>
        <w:t xml:space="preserve">FEDMA </w:t>
      </w:r>
      <w:r w:rsidR="00871448">
        <w:rPr>
          <w:rFonts w:ascii="Times New Roman" w:hAnsi="Times New Roman" w:cs="Times New Roman"/>
          <w:kern w:val="24"/>
          <w:sz w:val="24"/>
          <w:szCs w:val="24"/>
        </w:rPr>
        <w:t>drafted and proposed a Community Code.</w:t>
      </w:r>
      <w:r w:rsidR="004C782F">
        <w:rPr>
          <w:rFonts w:ascii="Times New Roman" w:hAnsi="Times New Roman" w:cs="Times New Roman"/>
          <w:kern w:val="24"/>
          <w:sz w:val="24"/>
          <w:szCs w:val="24"/>
        </w:rPr>
        <w:t xml:space="preserve"> </w:t>
      </w:r>
      <w:r w:rsidR="00E9404B">
        <w:rPr>
          <w:rFonts w:ascii="Times New Roman" w:hAnsi="Times New Roman" w:cs="Times New Roman"/>
          <w:kern w:val="24"/>
          <w:sz w:val="24"/>
          <w:szCs w:val="24"/>
        </w:rPr>
        <w:t xml:space="preserve">In </w:t>
      </w:r>
      <w:r w:rsidR="004C782F">
        <w:rPr>
          <w:rFonts w:ascii="Times New Roman" w:hAnsi="Times New Roman" w:cs="Times New Roman"/>
          <w:kern w:val="24"/>
          <w:sz w:val="24"/>
          <w:szCs w:val="24"/>
        </w:rPr>
        <w:t>2003</w:t>
      </w:r>
      <w:r w:rsidR="00E9404B">
        <w:rPr>
          <w:rFonts w:ascii="Times New Roman" w:hAnsi="Times New Roman" w:cs="Times New Roman"/>
          <w:kern w:val="24"/>
          <w:sz w:val="24"/>
          <w:szCs w:val="24"/>
        </w:rPr>
        <w:t>, the Article 29 Working Group approved it.</w:t>
      </w:r>
      <w:r w:rsidR="00E9404B">
        <w:rPr>
          <w:rStyle w:val="FootnoteReference"/>
          <w:rFonts w:ascii="Times New Roman" w:hAnsi="Times New Roman" w:cs="Times New Roman"/>
          <w:kern w:val="24"/>
          <w:sz w:val="24"/>
          <w:szCs w:val="24"/>
        </w:rPr>
        <w:footnoteReference w:id="144"/>
      </w:r>
      <w:r w:rsidR="004C782F">
        <w:rPr>
          <w:rFonts w:ascii="Times New Roman" w:hAnsi="Times New Roman" w:cs="Times New Roman"/>
          <w:kern w:val="24"/>
          <w:sz w:val="24"/>
          <w:szCs w:val="24"/>
        </w:rPr>
        <w:t xml:space="preserve"> </w:t>
      </w:r>
      <w:r w:rsidR="00871448">
        <w:rPr>
          <w:rFonts w:ascii="Times New Roman" w:hAnsi="Times New Roman" w:cs="Times New Roman"/>
          <w:kern w:val="24"/>
          <w:sz w:val="24"/>
          <w:szCs w:val="24"/>
        </w:rPr>
        <w:t>The code incorporates the requirements of the 1995 Directive and tailors them to the particular realities of the direct marketing industry.</w:t>
      </w:r>
      <w:r w:rsidR="00871448">
        <w:rPr>
          <w:rStyle w:val="FootnoteReference"/>
          <w:rFonts w:ascii="Times New Roman" w:hAnsi="Times New Roman" w:cs="Times New Roman"/>
          <w:kern w:val="24"/>
          <w:sz w:val="24"/>
          <w:szCs w:val="24"/>
        </w:rPr>
        <w:footnoteReference w:id="145"/>
      </w:r>
      <w:r w:rsidR="004C782F">
        <w:rPr>
          <w:rFonts w:ascii="Times New Roman" w:hAnsi="Times New Roman" w:cs="Times New Roman"/>
          <w:kern w:val="24"/>
          <w:sz w:val="24"/>
          <w:szCs w:val="24"/>
        </w:rPr>
        <w:t xml:space="preserve"> </w:t>
      </w:r>
      <w:r w:rsidR="00F67498">
        <w:rPr>
          <w:rFonts w:ascii="Times New Roman" w:hAnsi="Times New Roman" w:cs="Times New Roman"/>
          <w:kern w:val="24"/>
          <w:sz w:val="24"/>
          <w:szCs w:val="24"/>
        </w:rPr>
        <w:t>It provides a legal safe harbor, valid with respect to th</w:t>
      </w:r>
      <w:r w:rsidR="001F30E6">
        <w:rPr>
          <w:rFonts w:ascii="Times New Roman" w:hAnsi="Times New Roman" w:cs="Times New Roman"/>
          <w:kern w:val="24"/>
          <w:sz w:val="24"/>
          <w:szCs w:val="24"/>
        </w:rPr>
        <w:t>e data protection laws of all 28</w:t>
      </w:r>
      <w:r w:rsidR="00F67498">
        <w:rPr>
          <w:rFonts w:ascii="Times New Roman" w:hAnsi="Times New Roman" w:cs="Times New Roman"/>
          <w:kern w:val="24"/>
          <w:sz w:val="24"/>
          <w:szCs w:val="24"/>
        </w:rPr>
        <w:t xml:space="preserve"> </w:t>
      </w:r>
      <w:r w:rsidR="001C6D99">
        <w:rPr>
          <w:rFonts w:ascii="Times New Roman" w:hAnsi="Times New Roman" w:cs="Times New Roman"/>
          <w:kern w:val="24"/>
          <w:sz w:val="24"/>
          <w:szCs w:val="24"/>
        </w:rPr>
        <w:t xml:space="preserve">E.U. </w:t>
      </w:r>
      <w:r w:rsidR="00F67498">
        <w:rPr>
          <w:rFonts w:ascii="Times New Roman" w:hAnsi="Times New Roman" w:cs="Times New Roman"/>
          <w:kern w:val="24"/>
          <w:sz w:val="24"/>
          <w:szCs w:val="24"/>
        </w:rPr>
        <w:t>member states, for any European direct marketing firm that complies with it.</w:t>
      </w:r>
      <w:r w:rsidR="004C782F">
        <w:rPr>
          <w:rFonts w:ascii="Times New Roman" w:hAnsi="Times New Roman" w:cs="Times New Roman"/>
          <w:kern w:val="24"/>
          <w:sz w:val="24"/>
          <w:szCs w:val="24"/>
        </w:rPr>
        <w:t xml:space="preserve">  </w:t>
      </w:r>
      <w:r w:rsidR="00F67498">
        <w:rPr>
          <w:rFonts w:ascii="Times New Roman" w:hAnsi="Times New Roman" w:cs="Times New Roman"/>
          <w:kern w:val="24"/>
          <w:sz w:val="24"/>
          <w:szCs w:val="24"/>
        </w:rPr>
        <w:t xml:space="preserve">In </w:t>
      </w:r>
      <w:r w:rsidR="004C782F">
        <w:rPr>
          <w:rFonts w:ascii="Times New Roman" w:hAnsi="Times New Roman" w:cs="Times New Roman"/>
          <w:kern w:val="24"/>
          <w:sz w:val="24"/>
          <w:szCs w:val="24"/>
        </w:rPr>
        <w:t>2010</w:t>
      </w:r>
      <w:r w:rsidR="00F67498">
        <w:rPr>
          <w:rFonts w:ascii="Times New Roman" w:hAnsi="Times New Roman" w:cs="Times New Roman"/>
          <w:kern w:val="24"/>
          <w:sz w:val="24"/>
          <w:szCs w:val="24"/>
        </w:rPr>
        <w:t>, the Article 29 Working Party approved an “annex” to the FEDMA code that covers online marketing.</w:t>
      </w:r>
      <w:r w:rsidR="004C782F">
        <w:rPr>
          <w:rStyle w:val="FootnoteReference"/>
          <w:rFonts w:ascii="Times New Roman" w:hAnsi="Times New Roman" w:cs="Times New Roman"/>
          <w:kern w:val="24"/>
          <w:sz w:val="24"/>
          <w:szCs w:val="24"/>
        </w:rPr>
        <w:footnoteReference w:id="146"/>
      </w:r>
      <w:r w:rsidR="004C782F">
        <w:rPr>
          <w:rFonts w:ascii="Times New Roman" w:hAnsi="Times New Roman" w:cs="Times New Roman"/>
          <w:kern w:val="24"/>
          <w:sz w:val="24"/>
          <w:szCs w:val="24"/>
        </w:rPr>
        <w:t xml:space="preserve"> </w:t>
      </w:r>
    </w:p>
    <w:p w:rsidR="00BC5FAB" w:rsidRPr="00F51F03" w:rsidRDefault="00F67498" w:rsidP="00BC5FAB">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It is worth noting that the direct marketing industry is the only sector that has successfully established a Community Code.</w:t>
      </w:r>
      <w:r w:rsidR="004C782F">
        <w:rPr>
          <w:rFonts w:ascii="Times New Roman" w:hAnsi="Times New Roman" w:cs="Times New Roman"/>
          <w:kern w:val="24"/>
          <w:sz w:val="24"/>
          <w:szCs w:val="24"/>
        </w:rPr>
        <w:t xml:space="preserve"> </w:t>
      </w:r>
      <w:r>
        <w:rPr>
          <w:rFonts w:ascii="Times New Roman" w:hAnsi="Times New Roman" w:cs="Times New Roman"/>
          <w:kern w:val="24"/>
          <w:sz w:val="24"/>
          <w:szCs w:val="24"/>
        </w:rPr>
        <w:t>This under-utilization of the Article 27 Community Code process is likely a reflection of the significant costs involved in drafting and negotiating a code of this type.</w:t>
      </w:r>
      <w:r w:rsidR="004C782F">
        <w:rPr>
          <w:rFonts w:ascii="Times New Roman" w:hAnsi="Times New Roman" w:cs="Times New Roman"/>
          <w:kern w:val="24"/>
          <w:sz w:val="24"/>
          <w:szCs w:val="24"/>
        </w:rPr>
        <w:t xml:space="preserve"> </w:t>
      </w:r>
      <w:r w:rsidR="00CC471A">
        <w:rPr>
          <w:rFonts w:ascii="Times New Roman" w:hAnsi="Times New Roman" w:cs="Times New Roman"/>
          <w:kern w:val="24"/>
          <w:sz w:val="24"/>
          <w:szCs w:val="24"/>
        </w:rPr>
        <w:t xml:space="preserve">Still, the Article 27 process, as illustrated by the Article 29 Working Party’s approval of the FEDMA code, appears to provide just the process needed to establish sector-based, international privacy rules </w:t>
      </w:r>
      <w:r w:rsidR="00F51F03">
        <w:rPr>
          <w:rFonts w:ascii="Times New Roman" w:hAnsi="Times New Roman" w:cs="Times New Roman"/>
          <w:kern w:val="24"/>
          <w:sz w:val="24"/>
          <w:szCs w:val="24"/>
        </w:rPr>
        <w:t xml:space="preserve">that would function throughout the </w:t>
      </w:r>
      <w:r w:rsidR="001C6D99">
        <w:rPr>
          <w:rFonts w:ascii="Times New Roman" w:hAnsi="Times New Roman" w:cs="Times New Roman"/>
          <w:kern w:val="24"/>
          <w:sz w:val="24"/>
          <w:szCs w:val="24"/>
        </w:rPr>
        <w:t xml:space="preserve">E.U. </w:t>
      </w:r>
      <w:r w:rsidR="00F51F03">
        <w:rPr>
          <w:rFonts w:ascii="Times New Roman" w:hAnsi="Times New Roman" w:cs="Times New Roman"/>
          <w:kern w:val="24"/>
          <w:sz w:val="24"/>
          <w:szCs w:val="24"/>
        </w:rPr>
        <w:t>In theory, any sector could propose such a code to the Article 29 Working Party.</w:t>
      </w:r>
      <w:r w:rsidR="004C782F">
        <w:rPr>
          <w:rFonts w:ascii="Times New Roman" w:hAnsi="Times New Roman" w:cs="Times New Roman"/>
          <w:kern w:val="24"/>
          <w:sz w:val="24"/>
          <w:szCs w:val="24"/>
        </w:rPr>
        <w:t xml:space="preserve"> </w:t>
      </w:r>
      <w:r w:rsidR="00F51F03">
        <w:rPr>
          <w:rFonts w:ascii="Times New Roman" w:hAnsi="Times New Roman" w:cs="Times New Roman"/>
          <w:kern w:val="24"/>
          <w:sz w:val="24"/>
          <w:szCs w:val="24"/>
        </w:rPr>
        <w:t xml:space="preserve">If the Working Party approved it, the code would provide a legal safe harbor with respect to the data protection laws of all </w:t>
      </w:r>
      <w:r w:rsidR="001C6D99">
        <w:rPr>
          <w:rFonts w:ascii="Times New Roman" w:hAnsi="Times New Roman" w:cs="Times New Roman"/>
          <w:kern w:val="24"/>
          <w:sz w:val="24"/>
          <w:szCs w:val="24"/>
        </w:rPr>
        <w:t xml:space="preserve">E.U. </w:t>
      </w:r>
      <w:r w:rsidR="00F51F03">
        <w:rPr>
          <w:rFonts w:ascii="Times New Roman" w:hAnsi="Times New Roman" w:cs="Times New Roman"/>
          <w:kern w:val="24"/>
          <w:sz w:val="24"/>
          <w:szCs w:val="24"/>
        </w:rPr>
        <w:t>member states.</w:t>
      </w:r>
      <w:r w:rsidR="004C782F">
        <w:rPr>
          <w:rFonts w:ascii="Times New Roman" w:hAnsi="Times New Roman" w:cs="Times New Roman"/>
          <w:kern w:val="24"/>
          <w:sz w:val="24"/>
          <w:szCs w:val="24"/>
        </w:rPr>
        <w:t xml:space="preserve"> </w:t>
      </w:r>
      <w:r w:rsidR="00514FD8">
        <w:rPr>
          <w:rFonts w:ascii="Times New Roman" w:hAnsi="Times New Roman" w:cs="Times New Roman"/>
          <w:kern w:val="24"/>
          <w:sz w:val="24"/>
          <w:szCs w:val="24"/>
        </w:rPr>
        <w:t xml:space="preserve">Thus, at least with respect to the European </w:t>
      </w:r>
      <w:proofErr w:type="gramStart"/>
      <w:r w:rsidR="00514FD8">
        <w:rPr>
          <w:rFonts w:ascii="Times New Roman" w:hAnsi="Times New Roman" w:cs="Times New Roman"/>
          <w:kern w:val="24"/>
          <w:sz w:val="24"/>
          <w:szCs w:val="24"/>
        </w:rPr>
        <w:t>Union ,a</w:t>
      </w:r>
      <w:proofErr w:type="gramEnd"/>
      <w:r w:rsidR="00F51F03">
        <w:rPr>
          <w:rFonts w:ascii="Times New Roman" w:hAnsi="Times New Roman" w:cs="Times New Roman"/>
          <w:kern w:val="24"/>
          <w:sz w:val="24"/>
          <w:szCs w:val="24"/>
        </w:rPr>
        <w:t xml:space="preserve"> </w:t>
      </w:r>
      <w:r w:rsidR="00514FD8">
        <w:rPr>
          <w:rFonts w:ascii="Times New Roman" w:hAnsi="Times New Roman" w:cs="Times New Roman"/>
          <w:kern w:val="24"/>
          <w:sz w:val="24"/>
          <w:szCs w:val="24"/>
        </w:rPr>
        <w:t xml:space="preserve">clear </w:t>
      </w:r>
      <w:r w:rsidR="00F51F03">
        <w:rPr>
          <w:rFonts w:ascii="Times New Roman" w:hAnsi="Times New Roman" w:cs="Times New Roman"/>
          <w:kern w:val="24"/>
          <w:sz w:val="24"/>
          <w:szCs w:val="24"/>
        </w:rPr>
        <w:t xml:space="preserve">process exists for implementing </w:t>
      </w:r>
      <w:r w:rsidR="001C6D99">
        <w:rPr>
          <w:rFonts w:ascii="Times New Roman" w:hAnsi="Times New Roman" w:cs="Times New Roman"/>
          <w:kern w:val="24"/>
          <w:sz w:val="24"/>
          <w:szCs w:val="24"/>
        </w:rPr>
        <w:t>EU</w:t>
      </w:r>
      <w:r w:rsidR="00514FD8">
        <w:rPr>
          <w:rFonts w:ascii="Times New Roman" w:hAnsi="Times New Roman" w:cs="Times New Roman"/>
          <w:kern w:val="24"/>
          <w:sz w:val="24"/>
          <w:szCs w:val="24"/>
        </w:rPr>
        <w:t>-wide, sector-based privacy codes.</w:t>
      </w:r>
    </w:p>
    <w:p w:rsidR="00BC5FAB" w:rsidRDefault="00BC5FAB" w:rsidP="00BC5FAB">
      <w:pPr>
        <w:autoSpaceDE w:val="0"/>
        <w:autoSpaceDN w:val="0"/>
        <w:adjustRightInd w:val="0"/>
        <w:spacing w:after="0" w:line="480" w:lineRule="auto"/>
        <w:ind w:left="1440" w:firstLine="720"/>
        <w:rPr>
          <w:rFonts w:ascii="Times New Roman" w:hAnsi="Times New Roman" w:cs="Times New Roman"/>
          <w:kern w:val="24"/>
          <w:sz w:val="24"/>
          <w:szCs w:val="24"/>
        </w:rPr>
      </w:pPr>
    </w:p>
    <w:p w:rsidR="001312AC" w:rsidRDefault="001312AC">
      <w:pPr>
        <w:rPr>
          <w:rFonts w:ascii="Times New Roman" w:hAnsi="Times New Roman" w:cs="Times New Roman"/>
          <w:kern w:val="24"/>
          <w:sz w:val="24"/>
          <w:szCs w:val="24"/>
        </w:rPr>
      </w:pPr>
      <w:r>
        <w:rPr>
          <w:rFonts w:ascii="Times New Roman" w:hAnsi="Times New Roman" w:cs="Times New Roman"/>
          <w:kern w:val="24"/>
          <w:sz w:val="24"/>
          <w:szCs w:val="24"/>
        </w:rPr>
        <w:br w:type="page"/>
      </w:r>
    </w:p>
    <w:p w:rsidR="00E2266C" w:rsidRDefault="00E2266C" w:rsidP="00BC5FAB">
      <w:pPr>
        <w:autoSpaceDE w:val="0"/>
        <w:autoSpaceDN w:val="0"/>
        <w:adjustRightInd w:val="0"/>
        <w:spacing w:after="0" w:line="480" w:lineRule="auto"/>
        <w:ind w:left="1440" w:firstLine="720"/>
        <w:rPr>
          <w:rFonts w:ascii="Times New Roman" w:hAnsi="Times New Roman" w:cs="Times New Roman"/>
          <w:kern w:val="24"/>
          <w:sz w:val="24"/>
          <w:szCs w:val="24"/>
        </w:rPr>
      </w:pPr>
      <w:proofErr w:type="gramStart"/>
      <w:r>
        <w:rPr>
          <w:rFonts w:ascii="Times New Roman" w:hAnsi="Times New Roman" w:cs="Times New Roman"/>
          <w:kern w:val="24"/>
          <w:sz w:val="24"/>
          <w:szCs w:val="24"/>
        </w:rPr>
        <w:lastRenderedPageBreak/>
        <w:t>b.</w:t>
      </w:r>
      <w:r w:rsidR="004C782F">
        <w:rPr>
          <w:rFonts w:ascii="Times New Roman" w:hAnsi="Times New Roman" w:cs="Times New Roman"/>
          <w:kern w:val="24"/>
          <w:sz w:val="24"/>
          <w:szCs w:val="24"/>
        </w:rPr>
        <w:t xml:space="preserve">  </w:t>
      </w:r>
      <w:r w:rsidR="00565A04">
        <w:rPr>
          <w:rFonts w:ascii="Times New Roman" w:hAnsi="Times New Roman" w:cs="Times New Roman"/>
          <w:kern w:val="24"/>
          <w:sz w:val="24"/>
          <w:szCs w:val="24"/>
        </w:rPr>
        <w:t>The</w:t>
      </w:r>
      <w:proofErr w:type="gramEnd"/>
      <w:r w:rsidR="00565A04">
        <w:rPr>
          <w:rFonts w:ascii="Times New Roman" w:hAnsi="Times New Roman" w:cs="Times New Roman"/>
          <w:kern w:val="24"/>
          <w:sz w:val="24"/>
          <w:szCs w:val="24"/>
        </w:rPr>
        <w:t xml:space="preserve"> proposed General Data Protection Regulation.</w:t>
      </w:r>
    </w:p>
    <w:p w:rsidR="00E2266C" w:rsidRDefault="00F51F03"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European data protection law is in flux.</w:t>
      </w:r>
      <w:r w:rsidR="00E2266C">
        <w:rPr>
          <w:rFonts w:ascii="Times New Roman" w:hAnsi="Times New Roman" w:cs="Times New Roman"/>
          <w:kern w:val="24"/>
          <w:sz w:val="24"/>
          <w:szCs w:val="24"/>
        </w:rPr>
        <w:t xml:space="preserve"> </w:t>
      </w:r>
      <w:r w:rsidR="001E13EF">
        <w:rPr>
          <w:rFonts w:ascii="Times New Roman" w:hAnsi="Times New Roman" w:cs="Times New Roman"/>
          <w:kern w:val="24"/>
          <w:sz w:val="24"/>
          <w:szCs w:val="24"/>
        </w:rPr>
        <w:t xml:space="preserve">On </w:t>
      </w:r>
      <w:r w:rsidR="00E2266C">
        <w:rPr>
          <w:rFonts w:ascii="Times New Roman" w:hAnsi="Times New Roman" w:cs="Times New Roman"/>
          <w:kern w:val="24"/>
          <w:sz w:val="24"/>
          <w:szCs w:val="24"/>
        </w:rPr>
        <w:t xml:space="preserve">January 25, 2012, the European Commission </w:t>
      </w:r>
      <w:r w:rsidR="001E13EF">
        <w:rPr>
          <w:rFonts w:ascii="Times New Roman" w:hAnsi="Times New Roman" w:cs="Times New Roman"/>
          <w:kern w:val="24"/>
          <w:sz w:val="24"/>
          <w:szCs w:val="24"/>
        </w:rPr>
        <w:t>proposed a new General Data Protection Regulation that, if adopted, would replace the 1995 Data Protection Directive.</w:t>
      </w:r>
      <w:r w:rsidR="00E2266C">
        <w:rPr>
          <w:rStyle w:val="FootnoteReference"/>
          <w:rFonts w:ascii="Times New Roman" w:hAnsi="Times New Roman" w:cs="Times New Roman"/>
          <w:kern w:val="24"/>
          <w:sz w:val="24"/>
          <w:szCs w:val="24"/>
        </w:rPr>
        <w:footnoteReference w:id="147"/>
      </w:r>
      <w:r w:rsidR="00E2266C">
        <w:rPr>
          <w:rFonts w:ascii="Times New Roman" w:hAnsi="Times New Roman" w:cs="Times New Roman"/>
          <w:kern w:val="24"/>
          <w:sz w:val="24"/>
          <w:szCs w:val="24"/>
        </w:rPr>
        <w:t xml:space="preserve"> </w:t>
      </w:r>
      <w:r w:rsidR="0016134C">
        <w:rPr>
          <w:rFonts w:ascii="Times New Roman" w:hAnsi="Times New Roman" w:cs="Times New Roman"/>
          <w:kern w:val="24"/>
          <w:sz w:val="24"/>
          <w:szCs w:val="24"/>
        </w:rPr>
        <w:t xml:space="preserve">The proposed General Regulation would be directly binding on regulated parties in the </w:t>
      </w:r>
      <w:r w:rsidR="001C6D99">
        <w:rPr>
          <w:rFonts w:ascii="Times New Roman" w:hAnsi="Times New Roman" w:cs="Times New Roman"/>
          <w:kern w:val="24"/>
          <w:sz w:val="24"/>
          <w:szCs w:val="24"/>
        </w:rPr>
        <w:t xml:space="preserve">E.U. </w:t>
      </w:r>
      <w:r w:rsidR="0016134C">
        <w:rPr>
          <w:rFonts w:ascii="Times New Roman" w:hAnsi="Times New Roman" w:cs="Times New Roman"/>
          <w:kern w:val="24"/>
          <w:sz w:val="24"/>
          <w:szCs w:val="24"/>
        </w:rPr>
        <w:t>and so would harmonize data protection law throughout the European Union.</w:t>
      </w:r>
      <w:r w:rsidR="00E2266C">
        <w:rPr>
          <w:rFonts w:ascii="Times New Roman" w:hAnsi="Times New Roman" w:cs="Times New Roman"/>
          <w:kern w:val="24"/>
          <w:sz w:val="24"/>
          <w:szCs w:val="24"/>
        </w:rPr>
        <w:t xml:space="preserve"> </w:t>
      </w:r>
      <w:r w:rsidR="0016134C">
        <w:rPr>
          <w:rFonts w:ascii="Times New Roman" w:hAnsi="Times New Roman" w:cs="Times New Roman"/>
          <w:kern w:val="24"/>
          <w:sz w:val="24"/>
          <w:szCs w:val="24"/>
        </w:rPr>
        <w:t xml:space="preserve">This new set of laws, or some version of it, is likely to replace the 1995 Directive within the next few years. </w:t>
      </w:r>
      <w:r w:rsidR="00E2266C">
        <w:rPr>
          <w:rFonts w:ascii="Times New Roman" w:hAnsi="Times New Roman" w:cs="Times New Roman"/>
          <w:kern w:val="24"/>
          <w:sz w:val="24"/>
          <w:szCs w:val="24"/>
        </w:rPr>
        <w:t xml:space="preserve"> </w:t>
      </w:r>
      <w:r w:rsidR="00514FD8">
        <w:rPr>
          <w:rFonts w:ascii="Times New Roman" w:hAnsi="Times New Roman" w:cs="Times New Roman"/>
          <w:kern w:val="24"/>
          <w:sz w:val="24"/>
          <w:szCs w:val="24"/>
        </w:rPr>
        <w:t xml:space="preserve">Like the 1995 Directive, the proposed General Regulation provides a means for developing </w:t>
      </w:r>
      <w:r w:rsidR="001C6D99">
        <w:rPr>
          <w:rFonts w:ascii="Times New Roman" w:hAnsi="Times New Roman" w:cs="Times New Roman"/>
          <w:kern w:val="24"/>
          <w:sz w:val="24"/>
          <w:szCs w:val="24"/>
        </w:rPr>
        <w:t>EU</w:t>
      </w:r>
      <w:r w:rsidR="0016134C">
        <w:rPr>
          <w:rFonts w:ascii="Times New Roman" w:hAnsi="Times New Roman" w:cs="Times New Roman"/>
          <w:kern w:val="24"/>
          <w:sz w:val="24"/>
          <w:szCs w:val="24"/>
        </w:rPr>
        <w:t>-wide</w:t>
      </w:r>
      <w:r w:rsidR="00514FD8">
        <w:rPr>
          <w:rFonts w:ascii="Times New Roman" w:hAnsi="Times New Roman" w:cs="Times New Roman"/>
          <w:kern w:val="24"/>
          <w:sz w:val="24"/>
          <w:szCs w:val="24"/>
        </w:rPr>
        <w:t>, sector-based codes of conduct.</w:t>
      </w:r>
      <w:r w:rsidR="00E2266C">
        <w:rPr>
          <w:rFonts w:ascii="Times New Roman" w:hAnsi="Times New Roman" w:cs="Times New Roman"/>
          <w:kern w:val="24"/>
          <w:sz w:val="24"/>
          <w:szCs w:val="24"/>
        </w:rPr>
        <w:t xml:space="preserve"> </w:t>
      </w:r>
      <w:r w:rsidR="004D71AE">
        <w:rPr>
          <w:rFonts w:ascii="Times New Roman" w:hAnsi="Times New Roman" w:cs="Times New Roman"/>
          <w:kern w:val="24"/>
          <w:sz w:val="24"/>
          <w:szCs w:val="24"/>
        </w:rPr>
        <w:t>Section 38 of the proposed Regulation (Jan. 25, 2012 draft) requires national supervisory authorities and the European Commission to “encourage the drawing up of codes of conduct intended to contribute to the proper application of this Regulation, taking account of the specific features of the various data processing sectors.”</w:t>
      </w:r>
      <w:r w:rsidR="004D71AE">
        <w:rPr>
          <w:rStyle w:val="FootnoteReference"/>
          <w:rFonts w:ascii="Times New Roman" w:hAnsi="Times New Roman" w:cs="Times New Roman"/>
          <w:kern w:val="24"/>
          <w:sz w:val="24"/>
          <w:szCs w:val="24"/>
        </w:rPr>
        <w:footnoteReference w:id="148"/>
      </w:r>
      <w:r w:rsidR="00E2266C">
        <w:rPr>
          <w:rFonts w:ascii="Times New Roman" w:hAnsi="Times New Roman" w:cs="Times New Roman"/>
          <w:kern w:val="24"/>
          <w:sz w:val="24"/>
          <w:szCs w:val="24"/>
        </w:rPr>
        <w:t xml:space="preserve"> </w:t>
      </w:r>
      <w:r w:rsidR="004D71AE">
        <w:rPr>
          <w:rFonts w:ascii="Times New Roman" w:hAnsi="Times New Roman" w:cs="Times New Roman"/>
          <w:kern w:val="24"/>
          <w:sz w:val="24"/>
          <w:szCs w:val="24"/>
        </w:rPr>
        <w:t xml:space="preserve">Where the association proposing the code represents data controllers in a number of different Member States (as would be the case in the strategy that this article proposes), the proposed Regulation </w:t>
      </w:r>
      <w:r w:rsidR="00B74668">
        <w:rPr>
          <w:rFonts w:ascii="Times New Roman" w:hAnsi="Times New Roman" w:cs="Times New Roman"/>
          <w:kern w:val="24"/>
          <w:sz w:val="24"/>
          <w:szCs w:val="24"/>
        </w:rPr>
        <w:t>allows the organization to “submit draft codes of conduct . . . to the Commission.”</w:t>
      </w:r>
      <w:r w:rsidR="00B74668">
        <w:rPr>
          <w:rStyle w:val="FootnoteReference"/>
          <w:rFonts w:ascii="Times New Roman" w:hAnsi="Times New Roman" w:cs="Times New Roman"/>
          <w:kern w:val="24"/>
          <w:sz w:val="24"/>
          <w:szCs w:val="24"/>
        </w:rPr>
        <w:footnoteReference w:id="149"/>
      </w:r>
      <w:r w:rsidR="00E2266C">
        <w:rPr>
          <w:rFonts w:ascii="Times New Roman" w:hAnsi="Times New Roman" w:cs="Times New Roman"/>
          <w:kern w:val="24"/>
          <w:sz w:val="24"/>
          <w:szCs w:val="24"/>
        </w:rPr>
        <w:t xml:space="preserve"> </w:t>
      </w:r>
      <w:r w:rsidR="00B74668">
        <w:rPr>
          <w:rFonts w:ascii="Times New Roman" w:hAnsi="Times New Roman" w:cs="Times New Roman"/>
          <w:kern w:val="24"/>
          <w:sz w:val="24"/>
          <w:szCs w:val="24"/>
        </w:rPr>
        <w:t>It gives the Commission (i.e. the European Commission) the authority to “adopt implementing acts for deciding that codes of conduct . . . submitted to it . . . have general validity within the Union.”</w:t>
      </w:r>
      <w:r w:rsidR="00B74668">
        <w:rPr>
          <w:rStyle w:val="FootnoteReference"/>
          <w:rFonts w:ascii="Times New Roman" w:hAnsi="Times New Roman" w:cs="Times New Roman"/>
          <w:kern w:val="24"/>
          <w:sz w:val="24"/>
          <w:szCs w:val="24"/>
        </w:rPr>
        <w:footnoteReference w:id="150"/>
      </w:r>
      <w:r w:rsidR="00E2266C">
        <w:rPr>
          <w:rFonts w:ascii="Times New Roman" w:hAnsi="Times New Roman" w:cs="Times New Roman"/>
          <w:kern w:val="24"/>
          <w:sz w:val="24"/>
          <w:szCs w:val="24"/>
        </w:rPr>
        <w:t xml:space="preserve"> </w:t>
      </w:r>
    </w:p>
    <w:p w:rsidR="0005418C" w:rsidRDefault="00B74668"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This proposed procedure appears in many respects similar to the one that the Article 27 of the 1995 Directive currently makes available.</w:t>
      </w:r>
      <w:r w:rsidR="00E2266C">
        <w:rPr>
          <w:rFonts w:ascii="Times New Roman" w:hAnsi="Times New Roman" w:cs="Times New Roman"/>
          <w:kern w:val="24"/>
          <w:sz w:val="24"/>
          <w:szCs w:val="24"/>
        </w:rPr>
        <w:t xml:space="preserve"> </w:t>
      </w:r>
      <w:r>
        <w:rPr>
          <w:rFonts w:ascii="Times New Roman" w:hAnsi="Times New Roman" w:cs="Times New Roman"/>
          <w:kern w:val="24"/>
          <w:sz w:val="24"/>
          <w:szCs w:val="24"/>
        </w:rPr>
        <w:t>It allows trade associations to submit sector-based codes of conduct to the Commission.</w:t>
      </w:r>
      <w:r w:rsidR="00E2266C">
        <w:rPr>
          <w:rFonts w:ascii="Times New Roman" w:hAnsi="Times New Roman" w:cs="Times New Roman"/>
          <w:kern w:val="24"/>
          <w:sz w:val="24"/>
          <w:szCs w:val="24"/>
        </w:rPr>
        <w:t xml:space="preserve"> </w:t>
      </w:r>
      <w:r w:rsidR="0005418C">
        <w:rPr>
          <w:rFonts w:ascii="Times New Roman" w:hAnsi="Times New Roman" w:cs="Times New Roman"/>
          <w:kern w:val="24"/>
          <w:sz w:val="24"/>
          <w:szCs w:val="24"/>
        </w:rPr>
        <w:t xml:space="preserve">It </w:t>
      </w:r>
      <w:r w:rsidR="00514FD8">
        <w:rPr>
          <w:rFonts w:ascii="Times New Roman" w:hAnsi="Times New Roman" w:cs="Times New Roman"/>
          <w:kern w:val="24"/>
          <w:sz w:val="24"/>
          <w:szCs w:val="24"/>
        </w:rPr>
        <w:t xml:space="preserve">authorizes the Commission to approve such codes, and </w:t>
      </w:r>
      <w:r w:rsidR="00514FD8">
        <w:rPr>
          <w:rFonts w:ascii="Times New Roman" w:hAnsi="Times New Roman" w:cs="Times New Roman"/>
          <w:kern w:val="24"/>
          <w:sz w:val="24"/>
          <w:szCs w:val="24"/>
        </w:rPr>
        <w:lastRenderedPageBreak/>
        <w:t xml:space="preserve">so to give them </w:t>
      </w:r>
      <w:r w:rsidR="0005418C">
        <w:rPr>
          <w:rFonts w:ascii="Times New Roman" w:hAnsi="Times New Roman" w:cs="Times New Roman"/>
          <w:kern w:val="24"/>
          <w:sz w:val="24"/>
          <w:szCs w:val="24"/>
        </w:rPr>
        <w:t>“general validity” throughout the European Union.</w:t>
      </w:r>
      <w:r w:rsidR="00E2266C">
        <w:rPr>
          <w:rFonts w:ascii="Times New Roman" w:hAnsi="Times New Roman" w:cs="Times New Roman"/>
          <w:kern w:val="24"/>
          <w:sz w:val="24"/>
          <w:szCs w:val="24"/>
        </w:rPr>
        <w:t xml:space="preserve"> </w:t>
      </w:r>
      <w:r w:rsidR="0005418C">
        <w:rPr>
          <w:rFonts w:ascii="Times New Roman" w:hAnsi="Times New Roman" w:cs="Times New Roman"/>
          <w:kern w:val="24"/>
          <w:sz w:val="24"/>
          <w:szCs w:val="24"/>
        </w:rPr>
        <w:t>The only meaningful difference is that, under the 1995 Directive, the Article 29 Working Party reviews and approves the code whereas, under the proposed General Regulation, the Commission handles this task.</w:t>
      </w:r>
      <w:r w:rsidR="003D02D7">
        <w:rPr>
          <w:rFonts w:ascii="Times New Roman" w:hAnsi="Times New Roman" w:cs="Times New Roman"/>
          <w:kern w:val="24"/>
          <w:sz w:val="24"/>
          <w:szCs w:val="24"/>
        </w:rPr>
        <w:t xml:space="preserve"> </w:t>
      </w:r>
      <w:r w:rsidR="00AC137A">
        <w:rPr>
          <w:rFonts w:ascii="Times New Roman" w:hAnsi="Times New Roman" w:cs="Times New Roman"/>
          <w:kern w:val="24"/>
          <w:sz w:val="24"/>
          <w:szCs w:val="24"/>
        </w:rPr>
        <w:t xml:space="preserve">But other </w:t>
      </w:r>
      <w:proofErr w:type="spellStart"/>
      <w:r w:rsidR="00AC137A">
        <w:rPr>
          <w:rFonts w:ascii="Times New Roman" w:hAnsi="Times New Roman" w:cs="Times New Roman"/>
          <w:kern w:val="24"/>
          <w:sz w:val="24"/>
          <w:szCs w:val="24"/>
        </w:rPr>
        <w:t>that</w:t>
      </w:r>
      <w:proofErr w:type="spellEnd"/>
      <w:r w:rsidR="00AC137A">
        <w:rPr>
          <w:rFonts w:ascii="Times New Roman" w:hAnsi="Times New Roman" w:cs="Times New Roman"/>
          <w:kern w:val="24"/>
          <w:sz w:val="24"/>
          <w:szCs w:val="24"/>
        </w:rPr>
        <w:t xml:space="preserve"> that</w:t>
      </w:r>
      <w:r w:rsidR="00085E8A">
        <w:rPr>
          <w:rFonts w:ascii="Times New Roman" w:hAnsi="Times New Roman" w:cs="Times New Roman"/>
          <w:kern w:val="24"/>
          <w:sz w:val="24"/>
          <w:szCs w:val="24"/>
        </w:rPr>
        <w:t xml:space="preserve"> the proposed Regulation, in its current form at least, </w:t>
      </w:r>
      <w:r w:rsidR="00AC137A">
        <w:rPr>
          <w:rFonts w:ascii="Times New Roman" w:hAnsi="Times New Roman" w:cs="Times New Roman"/>
          <w:kern w:val="24"/>
          <w:sz w:val="24"/>
          <w:szCs w:val="24"/>
        </w:rPr>
        <w:t xml:space="preserve">keeps in place the </w:t>
      </w:r>
      <w:r w:rsidR="00085E8A">
        <w:rPr>
          <w:rFonts w:ascii="Times New Roman" w:hAnsi="Times New Roman" w:cs="Times New Roman"/>
          <w:kern w:val="24"/>
          <w:sz w:val="24"/>
          <w:szCs w:val="24"/>
        </w:rPr>
        <w:t>process now available under Article 27 of the 1995 Directive</w:t>
      </w:r>
      <w:r w:rsidR="00AC137A">
        <w:rPr>
          <w:rFonts w:ascii="Times New Roman" w:hAnsi="Times New Roman" w:cs="Times New Roman"/>
          <w:kern w:val="24"/>
          <w:sz w:val="24"/>
          <w:szCs w:val="24"/>
        </w:rPr>
        <w:t xml:space="preserve"> for the approval of Community Codes</w:t>
      </w:r>
      <w:r w:rsidR="00085E8A">
        <w:rPr>
          <w:rFonts w:ascii="Times New Roman" w:hAnsi="Times New Roman" w:cs="Times New Roman"/>
          <w:kern w:val="24"/>
          <w:sz w:val="24"/>
          <w:szCs w:val="24"/>
        </w:rPr>
        <w:t>.</w:t>
      </w:r>
    </w:p>
    <w:p w:rsidR="003D02D7" w:rsidRDefault="00085E8A"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kern w:val="24"/>
          <w:sz w:val="24"/>
          <w:szCs w:val="24"/>
        </w:rPr>
        <w:t xml:space="preserve">Both existing, and proposed, </w:t>
      </w:r>
      <w:r w:rsidR="001C6D99">
        <w:rPr>
          <w:rFonts w:ascii="Times New Roman" w:hAnsi="Times New Roman" w:cs="Times New Roman"/>
          <w:kern w:val="24"/>
          <w:sz w:val="24"/>
          <w:szCs w:val="24"/>
        </w:rPr>
        <w:t xml:space="preserve">E.U. </w:t>
      </w:r>
      <w:r>
        <w:rPr>
          <w:rFonts w:ascii="Times New Roman" w:hAnsi="Times New Roman" w:cs="Times New Roman"/>
          <w:kern w:val="24"/>
          <w:sz w:val="24"/>
          <w:szCs w:val="24"/>
        </w:rPr>
        <w:t xml:space="preserve">data protection laws appear to provide exactly the process needed to </w:t>
      </w:r>
      <w:r w:rsidR="002E69A3">
        <w:rPr>
          <w:rFonts w:ascii="Times New Roman" w:hAnsi="Times New Roman" w:cs="Times New Roman"/>
          <w:kern w:val="24"/>
          <w:sz w:val="24"/>
          <w:szCs w:val="24"/>
        </w:rPr>
        <w:t xml:space="preserve">establish legally-approved, </w:t>
      </w:r>
      <w:r w:rsidR="001C6D99">
        <w:rPr>
          <w:rFonts w:ascii="Times New Roman" w:hAnsi="Times New Roman" w:cs="Times New Roman"/>
          <w:kern w:val="24"/>
          <w:sz w:val="24"/>
          <w:szCs w:val="24"/>
        </w:rPr>
        <w:t>EU</w:t>
      </w:r>
      <w:r w:rsidR="002E69A3">
        <w:rPr>
          <w:rFonts w:ascii="Times New Roman" w:hAnsi="Times New Roman" w:cs="Times New Roman"/>
          <w:kern w:val="24"/>
          <w:sz w:val="24"/>
          <w:szCs w:val="24"/>
        </w:rPr>
        <w:t>-wide, sector-based code of conduct.</w:t>
      </w:r>
    </w:p>
    <w:p w:rsidR="003D02D7" w:rsidRDefault="003D02D7" w:rsidP="001610E3">
      <w:pPr>
        <w:autoSpaceDE w:val="0"/>
        <w:autoSpaceDN w:val="0"/>
        <w:adjustRightInd w:val="0"/>
        <w:spacing w:after="0" w:line="480" w:lineRule="auto"/>
        <w:ind w:left="2340"/>
        <w:rPr>
          <w:rFonts w:ascii="Times New Roman" w:hAnsi="Times New Roman" w:cs="Times New Roman"/>
          <w:kern w:val="24"/>
          <w:sz w:val="24"/>
          <w:szCs w:val="24"/>
        </w:rPr>
      </w:pPr>
    </w:p>
    <w:p w:rsidR="00EB016E" w:rsidRDefault="000A5C87" w:rsidP="00BC5FAB">
      <w:pPr>
        <w:autoSpaceDE w:val="0"/>
        <w:autoSpaceDN w:val="0"/>
        <w:adjustRightInd w:val="0"/>
        <w:spacing w:after="0" w:line="480" w:lineRule="auto"/>
        <w:ind w:left="1440" w:firstLine="720"/>
        <w:rPr>
          <w:rFonts w:ascii="Times New Roman" w:hAnsi="Times New Roman" w:cs="Times New Roman"/>
          <w:kern w:val="24"/>
          <w:sz w:val="24"/>
          <w:szCs w:val="24"/>
        </w:rPr>
      </w:pPr>
      <w:proofErr w:type="gramStart"/>
      <w:r>
        <w:rPr>
          <w:rFonts w:ascii="Times New Roman" w:hAnsi="Times New Roman" w:cs="Times New Roman"/>
          <w:kern w:val="24"/>
          <w:sz w:val="24"/>
          <w:szCs w:val="24"/>
        </w:rPr>
        <w:t xml:space="preserve">c.  </w:t>
      </w:r>
      <w:r w:rsidR="000E0533">
        <w:rPr>
          <w:rFonts w:ascii="Times New Roman" w:hAnsi="Times New Roman" w:cs="Times New Roman"/>
          <w:kern w:val="24"/>
          <w:sz w:val="24"/>
          <w:szCs w:val="24"/>
        </w:rPr>
        <w:t>APEC</w:t>
      </w:r>
      <w:proofErr w:type="gramEnd"/>
      <w:r w:rsidR="000E0533">
        <w:rPr>
          <w:rFonts w:ascii="Times New Roman" w:hAnsi="Times New Roman" w:cs="Times New Roman"/>
          <w:kern w:val="24"/>
          <w:sz w:val="24"/>
          <w:szCs w:val="24"/>
        </w:rPr>
        <w:t xml:space="preserve"> approval</w:t>
      </w:r>
    </w:p>
    <w:p w:rsidR="00EB016E" w:rsidRDefault="00FC6367"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It is far less clear whether the APEC Privacy Framework, as currently constitute</w:t>
      </w:r>
      <w:r w:rsidR="004850C1">
        <w:rPr>
          <w:rFonts w:ascii="Times New Roman" w:hAnsi="Times New Roman" w:cs="Times New Roman"/>
          <w:kern w:val="24"/>
          <w:sz w:val="24"/>
          <w:szCs w:val="24"/>
        </w:rPr>
        <w:t>d</w:t>
      </w:r>
      <w:r>
        <w:rPr>
          <w:rFonts w:ascii="Times New Roman" w:hAnsi="Times New Roman" w:cs="Times New Roman"/>
          <w:kern w:val="24"/>
          <w:sz w:val="24"/>
          <w:szCs w:val="24"/>
        </w:rPr>
        <w:t xml:space="preserve">, would support the approval of </w:t>
      </w:r>
      <w:r w:rsidR="004850C1">
        <w:rPr>
          <w:rFonts w:ascii="Times New Roman" w:hAnsi="Times New Roman" w:cs="Times New Roman"/>
          <w:kern w:val="24"/>
          <w:sz w:val="24"/>
          <w:szCs w:val="24"/>
        </w:rPr>
        <w:t xml:space="preserve">sector-based </w:t>
      </w:r>
      <w:r>
        <w:rPr>
          <w:rFonts w:ascii="Times New Roman" w:hAnsi="Times New Roman" w:cs="Times New Roman"/>
          <w:kern w:val="24"/>
          <w:sz w:val="24"/>
          <w:szCs w:val="24"/>
        </w:rPr>
        <w:t xml:space="preserve">codes. </w:t>
      </w:r>
      <w:r w:rsidR="00EB016E">
        <w:rPr>
          <w:rFonts w:ascii="Times New Roman" w:hAnsi="Times New Roman" w:cs="Times New Roman"/>
          <w:kern w:val="24"/>
          <w:sz w:val="24"/>
          <w:szCs w:val="24"/>
        </w:rPr>
        <w:t xml:space="preserve"> </w:t>
      </w:r>
      <w:r w:rsidR="004850C1">
        <w:rPr>
          <w:rFonts w:ascii="Times New Roman" w:hAnsi="Times New Roman" w:cs="Times New Roman"/>
          <w:kern w:val="24"/>
          <w:sz w:val="24"/>
          <w:szCs w:val="24"/>
        </w:rPr>
        <w:t xml:space="preserve">The APEC Cross-Border Privacy Rules program </w:t>
      </w:r>
      <w:r w:rsidR="00452940">
        <w:rPr>
          <w:rFonts w:ascii="Times New Roman" w:hAnsi="Times New Roman" w:cs="Times New Roman"/>
          <w:kern w:val="24"/>
          <w:sz w:val="24"/>
          <w:szCs w:val="24"/>
        </w:rPr>
        <w:t xml:space="preserve">clearly </w:t>
      </w:r>
      <w:r w:rsidR="004850C1">
        <w:rPr>
          <w:rFonts w:ascii="Times New Roman" w:hAnsi="Times New Roman" w:cs="Times New Roman"/>
          <w:kern w:val="24"/>
          <w:sz w:val="24"/>
          <w:szCs w:val="24"/>
        </w:rPr>
        <w:t>allow</w:t>
      </w:r>
      <w:r w:rsidR="00452940">
        <w:rPr>
          <w:rFonts w:ascii="Times New Roman" w:hAnsi="Times New Roman" w:cs="Times New Roman"/>
          <w:kern w:val="24"/>
          <w:sz w:val="24"/>
          <w:szCs w:val="24"/>
        </w:rPr>
        <w:t>s</w:t>
      </w:r>
      <w:r w:rsidR="004850C1">
        <w:rPr>
          <w:rFonts w:ascii="Times New Roman" w:hAnsi="Times New Roman" w:cs="Times New Roman"/>
          <w:kern w:val="24"/>
          <w:sz w:val="24"/>
          <w:szCs w:val="24"/>
        </w:rPr>
        <w:t xml:space="preserve"> individual </w:t>
      </w:r>
      <w:r w:rsidR="004850C1">
        <w:rPr>
          <w:rFonts w:ascii="Times New Roman" w:hAnsi="Times New Roman" w:cs="Times New Roman"/>
          <w:i/>
          <w:kern w:val="24"/>
          <w:sz w:val="24"/>
          <w:szCs w:val="24"/>
        </w:rPr>
        <w:t xml:space="preserve">companies </w:t>
      </w:r>
      <w:r w:rsidR="004850C1">
        <w:rPr>
          <w:rFonts w:ascii="Times New Roman" w:hAnsi="Times New Roman" w:cs="Times New Roman"/>
          <w:kern w:val="24"/>
          <w:sz w:val="24"/>
          <w:szCs w:val="24"/>
        </w:rPr>
        <w:t>to submit codes of conduct to an Accountability Agent, and to seek the Agent’s approval that the code complies with the APEC Privacy Principles.</w:t>
      </w:r>
      <w:r w:rsidR="00EB016E">
        <w:rPr>
          <w:rFonts w:ascii="Times New Roman" w:hAnsi="Times New Roman" w:cs="Times New Roman"/>
          <w:kern w:val="24"/>
          <w:sz w:val="24"/>
          <w:szCs w:val="24"/>
        </w:rPr>
        <w:t xml:space="preserve"> </w:t>
      </w:r>
      <w:r w:rsidR="004850C1">
        <w:rPr>
          <w:rFonts w:ascii="Times New Roman" w:hAnsi="Times New Roman" w:cs="Times New Roman"/>
          <w:kern w:val="24"/>
          <w:sz w:val="24"/>
          <w:szCs w:val="24"/>
        </w:rPr>
        <w:t xml:space="preserve">But nothing in APEC’s published procedures suggest that an </w:t>
      </w:r>
      <w:r w:rsidR="004850C1">
        <w:rPr>
          <w:rFonts w:ascii="Times New Roman" w:hAnsi="Times New Roman" w:cs="Times New Roman"/>
          <w:i/>
          <w:kern w:val="24"/>
          <w:sz w:val="24"/>
          <w:szCs w:val="24"/>
        </w:rPr>
        <w:t>industry sector</w:t>
      </w:r>
      <w:r w:rsidR="004850C1">
        <w:rPr>
          <w:rFonts w:ascii="Times New Roman" w:hAnsi="Times New Roman" w:cs="Times New Roman"/>
          <w:kern w:val="24"/>
          <w:sz w:val="24"/>
          <w:szCs w:val="24"/>
        </w:rPr>
        <w:t xml:space="preserve"> could submit such a code and obtain approval of it.</w:t>
      </w:r>
      <w:r w:rsidR="00EB016E">
        <w:rPr>
          <w:rFonts w:ascii="Times New Roman" w:hAnsi="Times New Roman" w:cs="Times New Roman"/>
          <w:kern w:val="24"/>
          <w:sz w:val="24"/>
          <w:szCs w:val="24"/>
        </w:rPr>
        <w:t xml:space="preserve"> </w:t>
      </w:r>
      <w:r w:rsidR="004850C1">
        <w:rPr>
          <w:rFonts w:ascii="Times New Roman" w:hAnsi="Times New Roman" w:cs="Times New Roman"/>
          <w:kern w:val="24"/>
          <w:sz w:val="24"/>
          <w:szCs w:val="24"/>
        </w:rPr>
        <w:t xml:space="preserve">If sectors are to be able to utilize the </w:t>
      </w:r>
      <w:r w:rsidR="001C6D99">
        <w:rPr>
          <w:rFonts w:ascii="Times New Roman" w:hAnsi="Times New Roman" w:cs="Times New Roman"/>
          <w:kern w:val="24"/>
          <w:sz w:val="24"/>
          <w:szCs w:val="24"/>
        </w:rPr>
        <w:t xml:space="preserve">E.U. </w:t>
      </w:r>
      <w:r w:rsidR="004850C1">
        <w:rPr>
          <w:rFonts w:ascii="Times New Roman" w:hAnsi="Times New Roman" w:cs="Times New Roman"/>
          <w:kern w:val="24"/>
          <w:sz w:val="24"/>
          <w:szCs w:val="24"/>
        </w:rPr>
        <w:t xml:space="preserve">and APEC processes to establish internationally privacy rules, it will be important for APEC </w:t>
      </w:r>
      <w:r w:rsidR="00452940">
        <w:rPr>
          <w:rFonts w:ascii="Times New Roman" w:hAnsi="Times New Roman" w:cs="Times New Roman"/>
          <w:kern w:val="24"/>
          <w:sz w:val="24"/>
          <w:szCs w:val="24"/>
        </w:rPr>
        <w:t xml:space="preserve">expressly </w:t>
      </w:r>
      <w:r w:rsidR="004850C1">
        <w:rPr>
          <w:rFonts w:ascii="Times New Roman" w:hAnsi="Times New Roman" w:cs="Times New Roman"/>
          <w:kern w:val="24"/>
          <w:sz w:val="24"/>
          <w:szCs w:val="24"/>
        </w:rPr>
        <w:t>to open its process to sector-based codes.</w:t>
      </w:r>
      <w:r w:rsidR="00EB016E">
        <w:rPr>
          <w:rFonts w:ascii="Times New Roman" w:hAnsi="Times New Roman" w:cs="Times New Roman"/>
          <w:kern w:val="24"/>
          <w:sz w:val="24"/>
          <w:szCs w:val="24"/>
        </w:rPr>
        <w:t xml:space="preserve"> </w:t>
      </w:r>
      <w:r w:rsidR="003F3ABC">
        <w:rPr>
          <w:rFonts w:ascii="Times New Roman" w:hAnsi="Times New Roman" w:cs="Times New Roman"/>
          <w:kern w:val="24"/>
          <w:sz w:val="24"/>
          <w:szCs w:val="24"/>
        </w:rPr>
        <w:t xml:space="preserve">Absent such a change, </w:t>
      </w:r>
      <w:r w:rsidR="00743F9E">
        <w:rPr>
          <w:rFonts w:ascii="Times New Roman" w:hAnsi="Times New Roman" w:cs="Times New Roman"/>
          <w:kern w:val="24"/>
          <w:sz w:val="24"/>
          <w:szCs w:val="24"/>
        </w:rPr>
        <w:t xml:space="preserve">large, sophisticated companies will be able to take advantage of </w:t>
      </w:r>
      <w:r w:rsidR="003F3ABC">
        <w:rPr>
          <w:rFonts w:ascii="Times New Roman" w:hAnsi="Times New Roman" w:cs="Times New Roman"/>
          <w:kern w:val="24"/>
          <w:sz w:val="24"/>
          <w:szCs w:val="24"/>
        </w:rPr>
        <w:t>the APEC cross-border rules process but, for the most part, small and medium-sized enterprises will not</w:t>
      </w:r>
      <w:r w:rsidR="00743F9E">
        <w:rPr>
          <w:rFonts w:ascii="Times New Roman" w:hAnsi="Times New Roman" w:cs="Times New Roman"/>
          <w:kern w:val="24"/>
          <w:sz w:val="24"/>
          <w:szCs w:val="24"/>
        </w:rPr>
        <w:t>.</w:t>
      </w:r>
    </w:p>
    <w:p w:rsidR="00DA6BCA" w:rsidRDefault="004850C1"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The APEC process also falls short in its creation of a legal safe harbor.</w:t>
      </w:r>
      <w:r w:rsidR="00EB016E">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As explained above, APEC guidance makes clear that an Accountability Agent’s approval of a company code </w:t>
      </w:r>
      <w:r>
        <w:rPr>
          <w:rFonts w:ascii="Times New Roman" w:hAnsi="Times New Roman" w:cs="Times New Roman"/>
          <w:i/>
          <w:kern w:val="24"/>
          <w:sz w:val="24"/>
          <w:szCs w:val="24"/>
        </w:rPr>
        <w:t xml:space="preserve">does not </w:t>
      </w:r>
      <w:r>
        <w:rPr>
          <w:rFonts w:ascii="Times New Roman" w:hAnsi="Times New Roman" w:cs="Times New Roman"/>
          <w:kern w:val="24"/>
          <w:sz w:val="24"/>
          <w:szCs w:val="24"/>
        </w:rPr>
        <w:t xml:space="preserve">guarantee compliance with the data protection laws of APEC member nations, and </w:t>
      </w:r>
      <w:r w:rsidRPr="003F3ABC">
        <w:rPr>
          <w:rFonts w:ascii="Times New Roman" w:hAnsi="Times New Roman" w:cs="Times New Roman"/>
          <w:i/>
          <w:kern w:val="24"/>
          <w:sz w:val="24"/>
          <w:szCs w:val="24"/>
        </w:rPr>
        <w:t xml:space="preserve">does </w:t>
      </w:r>
      <w:r w:rsidRPr="003F3ABC">
        <w:rPr>
          <w:rFonts w:ascii="Times New Roman" w:hAnsi="Times New Roman" w:cs="Times New Roman"/>
          <w:i/>
          <w:kern w:val="24"/>
          <w:sz w:val="24"/>
          <w:szCs w:val="24"/>
        </w:rPr>
        <w:lastRenderedPageBreak/>
        <w:t>not</w:t>
      </w:r>
      <w:r>
        <w:rPr>
          <w:rFonts w:ascii="Times New Roman" w:hAnsi="Times New Roman" w:cs="Times New Roman"/>
          <w:kern w:val="24"/>
          <w:sz w:val="24"/>
          <w:szCs w:val="24"/>
        </w:rPr>
        <w:t xml:space="preserve"> create a legal safe harbor with respect to them.</w:t>
      </w:r>
      <w:r w:rsidR="00EB016E">
        <w:rPr>
          <w:rStyle w:val="FootnoteReference"/>
          <w:rFonts w:ascii="Times New Roman" w:hAnsi="Times New Roman" w:cs="Times New Roman"/>
          <w:kern w:val="24"/>
          <w:sz w:val="24"/>
          <w:szCs w:val="24"/>
        </w:rPr>
        <w:footnoteReference w:id="151"/>
      </w:r>
      <w:r w:rsidR="008B012E">
        <w:rPr>
          <w:rFonts w:ascii="Times New Roman" w:hAnsi="Times New Roman" w:cs="Times New Roman"/>
          <w:kern w:val="24"/>
          <w:sz w:val="24"/>
          <w:szCs w:val="24"/>
        </w:rPr>
        <w:t xml:space="preserve"> </w:t>
      </w:r>
      <w:r w:rsidR="008059FF">
        <w:rPr>
          <w:rFonts w:ascii="Times New Roman" w:hAnsi="Times New Roman" w:cs="Times New Roman"/>
          <w:kern w:val="24"/>
          <w:sz w:val="24"/>
          <w:szCs w:val="24"/>
        </w:rPr>
        <w:t xml:space="preserve">This means that firms operating in the APEC framework will still have to track and comply with the data protection laws of many different nations; and regulators, individuals or other stakeholders trying to check on compliance will find it hard to know which jurisdiction’s rules apply at any given moment in personal data’s cross-border journey. Thus, the APEC CBPR system will not fully address the problems that cross-border data transfers create for business, or for data subjects and other </w:t>
      </w:r>
      <w:proofErr w:type="spellStart"/>
      <w:r w:rsidR="008059FF">
        <w:rPr>
          <w:rFonts w:ascii="Times New Roman" w:hAnsi="Times New Roman" w:cs="Times New Roman"/>
          <w:kern w:val="24"/>
          <w:sz w:val="24"/>
          <w:szCs w:val="24"/>
        </w:rPr>
        <w:t>stakeholders.</w:t>
      </w:r>
      <w:r w:rsidR="0039614D">
        <w:rPr>
          <w:rFonts w:ascii="Times New Roman" w:hAnsi="Times New Roman" w:cs="Times New Roman"/>
          <w:kern w:val="24"/>
          <w:sz w:val="24"/>
          <w:szCs w:val="24"/>
        </w:rPr>
        <w:t>This</w:t>
      </w:r>
      <w:proofErr w:type="spellEnd"/>
      <w:r w:rsidR="0039614D">
        <w:rPr>
          <w:rFonts w:ascii="Times New Roman" w:hAnsi="Times New Roman" w:cs="Times New Roman"/>
          <w:kern w:val="24"/>
          <w:sz w:val="24"/>
          <w:szCs w:val="24"/>
        </w:rPr>
        <w:t xml:space="preserve"> contrasts with the Article 29 Working Party’s approval of a Community Code (or the Commission’s approval </w:t>
      </w:r>
      <w:r w:rsidR="003F3ABC">
        <w:rPr>
          <w:rFonts w:ascii="Times New Roman" w:hAnsi="Times New Roman" w:cs="Times New Roman"/>
          <w:kern w:val="24"/>
          <w:sz w:val="24"/>
          <w:szCs w:val="24"/>
        </w:rPr>
        <w:t xml:space="preserve">of a sector-based code </w:t>
      </w:r>
      <w:r w:rsidR="0039614D">
        <w:rPr>
          <w:rFonts w:ascii="Times New Roman" w:hAnsi="Times New Roman" w:cs="Times New Roman"/>
          <w:kern w:val="24"/>
          <w:sz w:val="24"/>
          <w:szCs w:val="24"/>
        </w:rPr>
        <w:t xml:space="preserve">under the proposed Regulation) which clearly </w:t>
      </w:r>
      <w:r w:rsidR="0039614D">
        <w:rPr>
          <w:rFonts w:ascii="Times New Roman" w:hAnsi="Times New Roman" w:cs="Times New Roman"/>
          <w:i/>
          <w:kern w:val="24"/>
          <w:sz w:val="24"/>
          <w:szCs w:val="24"/>
        </w:rPr>
        <w:t xml:space="preserve">does </w:t>
      </w:r>
      <w:r w:rsidR="001D77DC">
        <w:rPr>
          <w:rFonts w:ascii="Times New Roman" w:hAnsi="Times New Roman" w:cs="Times New Roman"/>
          <w:kern w:val="24"/>
          <w:sz w:val="24"/>
          <w:szCs w:val="24"/>
        </w:rPr>
        <w:t>create a legal safe harbor—and so a single set of rules—</w:t>
      </w:r>
      <w:r w:rsidR="0039614D">
        <w:rPr>
          <w:rFonts w:ascii="Times New Roman" w:hAnsi="Times New Roman" w:cs="Times New Roman"/>
          <w:kern w:val="24"/>
          <w:sz w:val="24"/>
          <w:szCs w:val="24"/>
        </w:rPr>
        <w:t xml:space="preserve">with respect to the entire </w:t>
      </w:r>
      <w:r w:rsidR="001C6D99">
        <w:rPr>
          <w:rFonts w:ascii="Times New Roman" w:hAnsi="Times New Roman" w:cs="Times New Roman"/>
          <w:kern w:val="24"/>
          <w:sz w:val="24"/>
          <w:szCs w:val="24"/>
        </w:rPr>
        <w:t xml:space="preserve">E.U. </w:t>
      </w:r>
      <w:r w:rsidR="001D77DC">
        <w:rPr>
          <w:rFonts w:ascii="Times New Roman" w:hAnsi="Times New Roman" w:cs="Times New Roman"/>
          <w:kern w:val="24"/>
          <w:sz w:val="24"/>
          <w:szCs w:val="24"/>
        </w:rPr>
        <w:t xml:space="preserve"> </w:t>
      </w:r>
    </w:p>
    <w:p w:rsidR="003C4A75" w:rsidRDefault="008059FF"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w:t>
      </w:r>
      <w:r w:rsidR="003F3ABC">
        <w:rPr>
          <w:rFonts w:ascii="Times New Roman" w:hAnsi="Times New Roman" w:cs="Times New Roman"/>
          <w:kern w:val="24"/>
          <w:sz w:val="24"/>
          <w:szCs w:val="24"/>
        </w:rPr>
        <w:t>he APEC system needs to change in two ways in order to allow for the implementation of sector-based, cross-border codes.</w:t>
      </w:r>
      <w:r>
        <w:rPr>
          <w:rFonts w:ascii="Times New Roman" w:hAnsi="Times New Roman" w:cs="Times New Roman"/>
          <w:kern w:val="24"/>
          <w:sz w:val="24"/>
          <w:szCs w:val="24"/>
        </w:rPr>
        <w:t xml:space="preserve"> </w:t>
      </w:r>
      <w:r w:rsidR="003F3ABC">
        <w:rPr>
          <w:rFonts w:ascii="Times New Roman" w:hAnsi="Times New Roman" w:cs="Times New Roman"/>
          <w:kern w:val="24"/>
          <w:sz w:val="24"/>
          <w:szCs w:val="24"/>
        </w:rPr>
        <w:t xml:space="preserve">It needs to open </w:t>
      </w:r>
      <w:r w:rsidR="00E34A14">
        <w:rPr>
          <w:rFonts w:ascii="Times New Roman" w:hAnsi="Times New Roman" w:cs="Times New Roman"/>
          <w:kern w:val="24"/>
          <w:sz w:val="24"/>
          <w:szCs w:val="24"/>
        </w:rPr>
        <w:t>up its code appro</w:t>
      </w:r>
      <w:r w:rsidR="003F3ABC">
        <w:rPr>
          <w:rFonts w:ascii="Times New Roman" w:hAnsi="Times New Roman" w:cs="Times New Roman"/>
          <w:kern w:val="24"/>
          <w:sz w:val="24"/>
          <w:szCs w:val="24"/>
        </w:rPr>
        <w:t>val process to industry sectors.</w:t>
      </w:r>
      <w:r>
        <w:rPr>
          <w:rFonts w:ascii="Times New Roman" w:hAnsi="Times New Roman" w:cs="Times New Roman"/>
          <w:kern w:val="24"/>
          <w:sz w:val="24"/>
          <w:szCs w:val="24"/>
        </w:rPr>
        <w:t xml:space="preserve"> </w:t>
      </w:r>
      <w:r w:rsidR="003F3ABC">
        <w:rPr>
          <w:rFonts w:ascii="Times New Roman" w:hAnsi="Times New Roman" w:cs="Times New Roman"/>
          <w:kern w:val="24"/>
          <w:sz w:val="24"/>
          <w:szCs w:val="24"/>
        </w:rPr>
        <w:t xml:space="preserve">And it needs increase the legal significance of Accountability Agent approval so that it more closely approximates a legal safe harbor. </w:t>
      </w:r>
      <w:r>
        <w:rPr>
          <w:rFonts w:ascii="Times New Roman" w:hAnsi="Times New Roman" w:cs="Times New Roman"/>
          <w:kern w:val="24"/>
          <w:sz w:val="24"/>
          <w:szCs w:val="24"/>
        </w:rPr>
        <w:t xml:space="preserve"> </w:t>
      </w:r>
      <w:r w:rsidR="00E34A14">
        <w:rPr>
          <w:rFonts w:ascii="Times New Roman" w:hAnsi="Times New Roman" w:cs="Times New Roman"/>
          <w:kern w:val="24"/>
          <w:sz w:val="24"/>
          <w:szCs w:val="24"/>
        </w:rPr>
        <w:t xml:space="preserve">Not only will this facilitate cross-border data transfers among </w:t>
      </w:r>
      <w:r w:rsidR="00E5152C">
        <w:rPr>
          <w:rFonts w:ascii="Times New Roman" w:hAnsi="Times New Roman" w:cs="Times New Roman"/>
          <w:kern w:val="24"/>
          <w:sz w:val="24"/>
          <w:szCs w:val="24"/>
        </w:rPr>
        <w:t xml:space="preserve">the APEC </w:t>
      </w:r>
      <w:r w:rsidR="00E34A14">
        <w:rPr>
          <w:rFonts w:ascii="Times New Roman" w:hAnsi="Times New Roman" w:cs="Times New Roman"/>
          <w:kern w:val="24"/>
          <w:sz w:val="24"/>
          <w:szCs w:val="24"/>
        </w:rPr>
        <w:t>nations.</w:t>
      </w:r>
      <w:r>
        <w:rPr>
          <w:rFonts w:ascii="Times New Roman" w:hAnsi="Times New Roman" w:cs="Times New Roman"/>
          <w:kern w:val="24"/>
          <w:sz w:val="24"/>
          <w:szCs w:val="24"/>
        </w:rPr>
        <w:t xml:space="preserve"> </w:t>
      </w:r>
      <w:r w:rsidR="00E5152C">
        <w:rPr>
          <w:rFonts w:ascii="Times New Roman" w:hAnsi="Times New Roman" w:cs="Times New Roman"/>
          <w:kern w:val="24"/>
          <w:sz w:val="24"/>
          <w:szCs w:val="24"/>
        </w:rPr>
        <w:t xml:space="preserve">It will also enable the APEC and </w:t>
      </w:r>
      <w:r w:rsidR="001C6D99">
        <w:rPr>
          <w:rFonts w:ascii="Times New Roman" w:hAnsi="Times New Roman" w:cs="Times New Roman"/>
          <w:kern w:val="24"/>
          <w:sz w:val="24"/>
          <w:szCs w:val="24"/>
        </w:rPr>
        <w:t xml:space="preserve">E.U. </w:t>
      </w:r>
      <w:r w:rsidR="00E5152C">
        <w:rPr>
          <w:rFonts w:ascii="Times New Roman" w:hAnsi="Times New Roman" w:cs="Times New Roman"/>
          <w:kern w:val="24"/>
          <w:sz w:val="24"/>
          <w:szCs w:val="24"/>
        </w:rPr>
        <w:t xml:space="preserve">code approval systems to operate in concert with one another and so to produce cross-border privacy rules that encompass the </w:t>
      </w:r>
      <w:r w:rsidR="001C6D99">
        <w:rPr>
          <w:rFonts w:ascii="Times New Roman" w:hAnsi="Times New Roman" w:cs="Times New Roman"/>
          <w:kern w:val="24"/>
          <w:sz w:val="24"/>
          <w:szCs w:val="24"/>
        </w:rPr>
        <w:t>E.U.,</w:t>
      </w:r>
      <w:r w:rsidR="00E5152C">
        <w:rPr>
          <w:rFonts w:ascii="Times New Roman" w:hAnsi="Times New Roman" w:cs="Times New Roman"/>
          <w:kern w:val="24"/>
          <w:sz w:val="24"/>
          <w:szCs w:val="24"/>
        </w:rPr>
        <w:t xml:space="preserve"> United States and much of Asia.</w:t>
      </w:r>
    </w:p>
    <w:p w:rsidR="00BC5FAB" w:rsidRDefault="00BC5FAB" w:rsidP="001610E3">
      <w:pPr>
        <w:autoSpaceDE w:val="0"/>
        <w:autoSpaceDN w:val="0"/>
        <w:adjustRightInd w:val="0"/>
        <w:spacing w:after="0" w:line="480" w:lineRule="auto"/>
        <w:ind w:firstLine="720"/>
        <w:rPr>
          <w:rFonts w:ascii="Times New Roman" w:hAnsi="Times New Roman" w:cs="Times New Roman"/>
          <w:kern w:val="24"/>
          <w:sz w:val="24"/>
          <w:szCs w:val="24"/>
        </w:rPr>
      </w:pPr>
    </w:p>
    <w:p w:rsidR="003C4A75" w:rsidRDefault="003C4A75" w:rsidP="00BC5FAB">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C.</w:t>
      </w:r>
      <w:r w:rsidRPr="003C4A75">
        <w:rPr>
          <w:rFonts w:ascii="Times New Roman" w:hAnsi="Times New Roman" w:cs="Times New Roman"/>
          <w:kern w:val="24"/>
          <w:sz w:val="24"/>
          <w:szCs w:val="24"/>
        </w:rPr>
        <w:t xml:space="preserve">  </w:t>
      </w:r>
      <w:r w:rsidR="00342A2D" w:rsidRPr="003C4A75">
        <w:rPr>
          <w:rFonts w:ascii="Times New Roman" w:hAnsi="Times New Roman" w:cs="Times New Roman"/>
          <w:kern w:val="24"/>
          <w:sz w:val="24"/>
          <w:szCs w:val="24"/>
          <w:u w:val="single"/>
        </w:rPr>
        <w:t>Global Codes: Substance</w:t>
      </w:r>
    </w:p>
    <w:p w:rsidR="00EC6FAA" w:rsidRDefault="003C4A75"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T</w:t>
      </w:r>
      <w:r w:rsidR="009351CF">
        <w:rPr>
          <w:rFonts w:ascii="Times New Roman" w:hAnsi="Times New Roman" w:cs="Times New Roman"/>
          <w:kern w:val="24"/>
          <w:sz w:val="24"/>
          <w:szCs w:val="24"/>
        </w:rPr>
        <w:t>his raises the second major</w:t>
      </w:r>
      <w:r w:rsidR="00DC4603" w:rsidRPr="00A376FD">
        <w:rPr>
          <w:rFonts w:ascii="Times New Roman" w:hAnsi="Times New Roman" w:cs="Times New Roman"/>
          <w:kern w:val="24"/>
          <w:sz w:val="24"/>
          <w:szCs w:val="24"/>
        </w:rPr>
        <w:t xml:space="preserve"> question: can these two systems work in harmony?  Is there sufficient substantive overlap?</w:t>
      </w:r>
      <w:r>
        <w:rPr>
          <w:rFonts w:ascii="Times New Roman" w:hAnsi="Times New Roman" w:cs="Times New Roman"/>
          <w:kern w:val="24"/>
          <w:sz w:val="24"/>
          <w:szCs w:val="24"/>
        </w:rPr>
        <w:t xml:space="preserve"> </w:t>
      </w:r>
      <w:r w:rsidR="009351CF">
        <w:rPr>
          <w:rFonts w:ascii="Times New Roman" w:hAnsi="Times New Roman" w:cs="Times New Roman"/>
          <w:kern w:val="24"/>
          <w:sz w:val="24"/>
          <w:szCs w:val="24"/>
        </w:rPr>
        <w:t xml:space="preserve">This is a tricky question because the </w:t>
      </w:r>
      <w:r w:rsidR="00C17A26">
        <w:rPr>
          <w:rFonts w:ascii="Times New Roman" w:hAnsi="Times New Roman" w:cs="Times New Roman"/>
          <w:kern w:val="24"/>
          <w:sz w:val="24"/>
          <w:szCs w:val="24"/>
        </w:rPr>
        <w:t xml:space="preserve">law </w:t>
      </w:r>
      <w:r w:rsidR="009351CF">
        <w:rPr>
          <w:rFonts w:ascii="Times New Roman" w:hAnsi="Times New Roman" w:cs="Times New Roman"/>
          <w:kern w:val="24"/>
          <w:sz w:val="24"/>
          <w:szCs w:val="24"/>
        </w:rPr>
        <w:t xml:space="preserve">in this area is </w:t>
      </w:r>
      <w:r w:rsidR="00C17A26">
        <w:rPr>
          <w:rFonts w:ascii="Times New Roman" w:hAnsi="Times New Roman" w:cs="Times New Roman"/>
          <w:kern w:val="24"/>
          <w:sz w:val="24"/>
          <w:szCs w:val="24"/>
        </w:rPr>
        <w:t>a moving target.</w:t>
      </w:r>
      <w:r>
        <w:rPr>
          <w:rFonts w:ascii="Times New Roman" w:hAnsi="Times New Roman" w:cs="Times New Roman"/>
          <w:kern w:val="24"/>
          <w:sz w:val="24"/>
          <w:szCs w:val="24"/>
        </w:rPr>
        <w:t xml:space="preserve"> </w:t>
      </w:r>
      <w:r w:rsidR="009351CF">
        <w:rPr>
          <w:rFonts w:ascii="Times New Roman" w:hAnsi="Times New Roman" w:cs="Times New Roman"/>
          <w:kern w:val="24"/>
          <w:sz w:val="24"/>
          <w:szCs w:val="24"/>
        </w:rPr>
        <w:t xml:space="preserve">The APEC Privacy Principles appear to be stable for now.  </w:t>
      </w:r>
      <w:r>
        <w:rPr>
          <w:rFonts w:ascii="Times New Roman" w:hAnsi="Times New Roman" w:cs="Times New Roman"/>
          <w:kern w:val="24"/>
          <w:sz w:val="24"/>
          <w:szCs w:val="24"/>
        </w:rPr>
        <w:t xml:space="preserve"> </w:t>
      </w:r>
      <w:r w:rsidR="009351CF">
        <w:rPr>
          <w:rFonts w:ascii="Times New Roman" w:hAnsi="Times New Roman" w:cs="Times New Roman"/>
          <w:kern w:val="24"/>
          <w:sz w:val="24"/>
          <w:szCs w:val="24"/>
        </w:rPr>
        <w:t>But European data protection law is not.</w:t>
      </w:r>
      <w:r>
        <w:rPr>
          <w:rFonts w:ascii="Times New Roman" w:hAnsi="Times New Roman" w:cs="Times New Roman"/>
          <w:kern w:val="24"/>
          <w:sz w:val="24"/>
          <w:szCs w:val="24"/>
        </w:rPr>
        <w:t xml:space="preserve">  As was mentioned above, the European Commission </w:t>
      </w:r>
      <w:r w:rsidR="009351CF" w:rsidRPr="00965A57">
        <w:rPr>
          <w:rFonts w:ascii="Times New Roman" w:hAnsi="Times New Roman" w:cs="Times New Roman"/>
          <w:kern w:val="24"/>
          <w:sz w:val="24"/>
          <w:szCs w:val="24"/>
        </w:rPr>
        <w:t xml:space="preserve">has proposed a General Data </w:t>
      </w:r>
      <w:r w:rsidR="009351CF" w:rsidRPr="00965A57">
        <w:rPr>
          <w:rFonts w:ascii="Times New Roman" w:hAnsi="Times New Roman" w:cs="Times New Roman"/>
          <w:kern w:val="24"/>
          <w:sz w:val="24"/>
          <w:szCs w:val="24"/>
        </w:rPr>
        <w:lastRenderedPageBreak/>
        <w:t>Protection Regulation that would replace the 1995 Data Protection Directive.</w:t>
      </w:r>
      <w:r w:rsidR="0055465C">
        <w:rPr>
          <w:rStyle w:val="FootnoteReference"/>
          <w:rFonts w:ascii="Times New Roman" w:hAnsi="Times New Roman" w:cs="Times New Roman"/>
          <w:kern w:val="24"/>
          <w:sz w:val="24"/>
          <w:szCs w:val="24"/>
        </w:rPr>
        <w:footnoteReference w:id="152"/>
      </w:r>
      <w:r w:rsidR="00EC6FAA">
        <w:rPr>
          <w:rFonts w:ascii="Times New Roman" w:hAnsi="Times New Roman" w:cs="Times New Roman"/>
          <w:kern w:val="24"/>
          <w:sz w:val="24"/>
          <w:szCs w:val="24"/>
        </w:rPr>
        <w:t xml:space="preserve"> </w:t>
      </w:r>
      <w:r w:rsidR="009351CF" w:rsidRPr="00965A57">
        <w:rPr>
          <w:rFonts w:ascii="Times New Roman" w:hAnsi="Times New Roman" w:cs="Times New Roman"/>
          <w:kern w:val="24"/>
          <w:sz w:val="24"/>
          <w:szCs w:val="24"/>
        </w:rPr>
        <w:t xml:space="preserve">The proposed Regulation </w:t>
      </w:r>
      <w:r w:rsidR="00F655D9">
        <w:rPr>
          <w:rFonts w:ascii="Times New Roman" w:hAnsi="Times New Roman" w:cs="Times New Roman"/>
          <w:kern w:val="24"/>
          <w:sz w:val="24"/>
          <w:szCs w:val="24"/>
        </w:rPr>
        <w:t xml:space="preserve">would </w:t>
      </w:r>
      <w:r w:rsidR="009351CF" w:rsidRPr="00965A57">
        <w:rPr>
          <w:rFonts w:ascii="Times New Roman" w:hAnsi="Times New Roman" w:cs="Times New Roman"/>
          <w:kern w:val="24"/>
          <w:sz w:val="24"/>
          <w:szCs w:val="24"/>
        </w:rPr>
        <w:t>directly bind</w:t>
      </w:r>
      <w:r w:rsidR="00F655D9">
        <w:rPr>
          <w:rFonts w:ascii="Times New Roman" w:hAnsi="Times New Roman" w:cs="Times New Roman"/>
          <w:kern w:val="24"/>
          <w:sz w:val="24"/>
          <w:szCs w:val="24"/>
        </w:rPr>
        <w:t xml:space="preserve"> regulated parties in the </w:t>
      </w:r>
      <w:r w:rsidR="001C6D99">
        <w:rPr>
          <w:rFonts w:ascii="Times New Roman" w:hAnsi="Times New Roman" w:cs="Times New Roman"/>
          <w:kern w:val="24"/>
          <w:sz w:val="24"/>
          <w:szCs w:val="24"/>
        </w:rPr>
        <w:t xml:space="preserve">E.U. </w:t>
      </w:r>
      <w:r w:rsidR="00F655D9">
        <w:rPr>
          <w:rFonts w:ascii="Times New Roman" w:hAnsi="Times New Roman" w:cs="Times New Roman"/>
          <w:kern w:val="24"/>
          <w:sz w:val="24"/>
          <w:szCs w:val="24"/>
        </w:rPr>
        <w:t>and</w:t>
      </w:r>
      <w:r w:rsidR="009351CF" w:rsidRPr="00965A57">
        <w:rPr>
          <w:rFonts w:ascii="Times New Roman" w:hAnsi="Times New Roman" w:cs="Times New Roman"/>
          <w:kern w:val="24"/>
          <w:sz w:val="24"/>
          <w:szCs w:val="24"/>
        </w:rPr>
        <w:t xml:space="preserve"> would not require member state implementing legislation</w:t>
      </w:r>
      <w:r w:rsidR="00F655D9">
        <w:rPr>
          <w:rFonts w:ascii="Times New Roman" w:hAnsi="Times New Roman" w:cs="Times New Roman"/>
          <w:kern w:val="24"/>
          <w:sz w:val="24"/>
          <w:szCs w:val="24"/>
        </w:rPr>
        <w:t>.</w:t>
      </w:r>
      <w:r w:rsidR="00EC6FAA">
        <w:rPr>
          <w:rFonts w:ascii="Times New Roman" w:hAnsi="Times New Roman" w:cs="Times New Roman"/>
          <w:kern w:val="24"/>
          <w:sz w:val="24"/>
          <w:szCs w:val="24"/>
        </w:rPr>
        <w:t xml:space="preserve"> </w:t>
      </w:r>
      <w:r w:rsidR="00F655D9">
        <w:rPr>
          <w:rFonts w:ascii="Times New Roman" w:hAnsi="Times New Roman" w:cs="Times New Roman"/>
          <w:kern w:val="24"/>
          <w:sz w:val="24"/>
          <w:szCs w:val="24"/>
        </w:rPr>
        <w:t xml:space="preserve">In this way, it would </w:t>
      </w:r>
      <w:r w:rsidR="009351CF" w:rsidRPr="00965A57">
        <w:rPr>
          <w:rFonts w:ascii="Times New Roman" w:hAnsi="Times New Roman" w:cs="Times New Roman"/>
          <w:kern w:val="24"/>
          <w:sz w:val="24"/>
          <w:szCs w:val="24"/>
        </w:rPr>
        <w:t xml:space="preserve">further harmonize </w:t>
      </w:r>
      <w:r w:rsidR="001C6D99">
        <w:rPr>
          <w:rFonts w:ascii="Times New Roman" w:hAnsi="Times New Roman" w:cs="Times New Roman"/>
          <w:kern w:val="24"/>
          <w:sz w:val="24"/>
          <w:szCs w:val="24"/>
        </w:rPr>
        <w:t xml:space="preserve">E.U. </w:t>
      </w:r>
      <w:r w:rsidR="009351CF" w:rsidRPr="00965A57">
        <w:rPr>
          <w:rFonts w:ascii="Times New Roman" w:hAnsi="Times New Roman" w:cs="Times New Roman"/>
          <w:kern w:val="24"/>
          <w:sz w:val="24"/>
          <w:szCs w:val="24"/>
        </w:rPr>
        <w:t>data protection law.</w:t>
      </w:r>
      <w:r w:rsidR="00EC6FAA">
        <w:rPr>
          <w:rFonts w:ascii="Times New Roman" w:hAnsi="Times New Roman" w:cs="Times New Roman"/>
          <w:kern w:val="24"/>
          <w:sz w:val="24"/>
          <w:szCs w:val="24"/>
        </w:rPr>
        <w:t xml:space="preserve"> </w:t>
      </w:r>
      <w:r w:rsidR="00965A57">
        <w:rPr>
          <w:rFonts w:ascii="Times New Roman" w:hAnsi="Times New Roman" w:cs="Times New Roman"/>
          <w:kern w:val="24"/>
          <w:sz w:val="24"/>
          <w:szCs w:val="24"/>
        </w:rPr>
        <w:t xml:space="preserve">The </w:t>
      </w:r>
      <w:r w:rsidR="009351CF" w:rsidRPr="00965A57">
        <w:rPr>
          <w:rFonts w:ascii="Times New Roman" w:hAnsi="Times New Roman" w:cs="Times New Roman"/>
          <w:kern w:val="24"/>
          <w:sz w:val="24"/>
          <w:szCs w:val="24"/>
        </w:rPr>
        <w:t xml:space="preserve">General Data Protection Regulation will </w:t>
      </w:r>
      <w:r w:rsidR="00965A57">
        <w:rPr>
          <w:rFonts w:ascii="Times New Roman" w:hAnsi="Times New Roman" w:cs="Times New Roman"/>
          <w:kern w:val="24"/>
          <w:sz w:val="24"/>
          <w:szCs w:val="24"/>
        </w:rPr>
        <w:t xml:space="preserve">likely </w:t>
      </w:r>
      <w:r w:rsidR="009351CF" w:rsidRPr="00965A57">
        <w:rPr>
          <w:rFonts w:ascii="Times New Roman" w:hAnsi="Times New Roman" w:cs="Times New Roman"/>
          <w:kern w:val="24"/>
          <w:sz w:val="24"/>
          <w:szCs w:val="24"/>
        </w:rPr>
        <w:t xml:space="preserve">take the place of the 1995 Directive within the next few years.  </w:t>
      </w:r>
    </w:p>
    <w:p w:rsidR="00FD6922" w:rsidRPr="00440E9A" w:rsidRDefault="00C17A26"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U.S. </w:t>
      </w:r>
      <w:r w:rsidR="00CD3CBD">
        <w:rPr>
          <w:rFonts w:ascii="Times New Roman" w:hAnsi="Times New Roman" w:cs="Times New Roman"/>
          <w:kern w:val="24"/>
          <w:sz w:val="24"/>
          <w:szCs w:val="24"/>
        </w:rPr>
        <w:t xml:space="preserve">privacy </w:t>
      </w:r>
      <w:r>
        <w:rPr>
          <w:rFonts w:ascii="Times New Roman" w:hAnsi="Times New Roman" w:cs="Times New Roman"/>
          <w:kern w:val="24"/>
          <w:sz w:val="24"/>
          <w:szCs w:val="24"/>
        </w:rPr>
        <w:t xml:space="preserve">law </w:t>
      </w:r>
      <w:r w:rsidR="009351CF">
        <w:rPr>
          <w:rFonts w:ascii="Times New Roman" w:hAnsi="Times New Roman" w:cs="Times New Roman"/>
          <w:kern w:val="24"/>
          <w:sz w:val="24"/>
          <w:szCs w:val="24"/>
        </w:rPr>
        <w:t xml:space="preserve">is </w:t>
      </w:r>
      <w:r>
        <w:rPr>
          <w:rFonts w:ascii="Times New Roman" w:hAnsi="Times New Roman" w:cs="Times New Roman"/>
          <w:kern w:val="24"/>
          <w:sz w:val="24"/>
          <w:szCs w:val="24"/>
        </w:rPr>
        <w:t xml:space="preserve">also in </w:t>
      </w:r>
      <w:r w:rsidR="00641F1B">
        <w:rPr>
          <w:rFonts w:ascii="Times New Roman" w:hAnsi="Times New Roman" w:cs="Times New Roman"/>
          <w:kern w:val="24"/>
          <w:sz w:val="24"/>
          <w:szCs w:val="24"/>
        </w:rPr>
        <w:t xml:space="preserve">some </w:t>
      </w:r>
      <w:r>
        <w:rPr>
          <w:rFonts w:ascii="Times New Roman" w:hAnsi="Times New Roman" w:cs="Times New Roman"/>
          <w:kern w:val="24"/>
          <w:sz w:val="24"/>
          <w:szCs w:val="24"/>
        </w:rPr>
        <w:t>flux.</w:t>
      </w:r>
      <w:r w:rsidR="00EC6FAA">
        <w:rPr>
          <w:rFonts w:ascii="Times New Roman" w:hAnsi="Times New Roman" w:cs="Times New Roman"/>
          <w:kern w:val="24"/>
          <w:sz w:val="24"/>
          <w:szCs w:val="24"/>
        </w:rPr>
        <w:t xml:space="preserve"> </w:t>
      </w:r>
      <w:r w:rsidR="00F655D9">
        <w:rPr>
          <w:rFonts w:ascii="Times New Roman" w:hAnsi="Times New Roman" w:cs="Times New Roman"/>
          <w:kern w:val="24"/>
          <w:sz w:val="24"/>
          <w:szCs w:val="24"/>
        </w:rPr>
        <w:t>To date, U.S. privacy law has consisted of targeted statutes that regulate specific sectors (e.g. health care, financial institutions).</w:t>
      </w:r>
      <w:r w:rsidR="00EC6FAA">
        <w:rPr>
          <w:rFonts w:ascii="Times New Roman" w:hAnsi="Times New Roman" w:cs="Times New Roman"/>
          <w:kern w:val="24"/>
          <w:sz w:val="24"/>
          <w:szCs w:val="24"/>
        </w:rPr>
        <w:t xml:space="preserve"> </w:t>
      </w:r>
      <w:r w:rsidR="00F655D9">
        <w:rPr>
          <w:rFonts w:ascii="Times New Roman" w:hAnsi="Times New Roman" w:cs="Times New Roman"/>
          <w:kern w:val="24"/>
          <w:sz w:val="24"/>
          <w:szCs w:val="24"/>
        </w:rPr>
        <w:t>In recent years, m</w:t>
      </w:r>
      <w:r w:rsidR="00641F1B" w:rsidRPr="00FD6922">
        <w:rPr>
          <w:rFonts w:ascii="Times New Roman" w:hAnsi="Times New Roman" w:cs="Times New Roman"/>
          <w:kern w:val="24"/>
          <w:sz w:val="24"/>
          <w:szCs w:val="24"/>
        </w:rPr>
        <w:t xml:space="preserve">embers of </w:t>
      </w:r>
      <w:r w:rsidR="000A3BE1" w:rsidRPr="00FD6922">
        <w:rPr>
          <w:rFonts w:ascii="Times New Roman" w:hAnsi="Times New Roman" w:cs="Times New Roman"/>
          <w:kern w:val="24"/>
          <w:sz w:val="24"/>
          <w:szCs w:val="24"/>
        </w:rPr>
        <w:t xml:space="preserve">the House and the Senate have </w:t>
      </w:r>
      <w:r w:rsidR="00641F1B" w:rsidRPr="00FD6922">
        <w:rPr>
          <w:rFonts w:ascii="Times New Roman" w:hAnsi="Times New Roman" w:cs="Times New Roman"/>
          <w:kern w:val="24"/>
          <w:sz w:val="24"/>
          <w:szCs w:val="24"/>
        </w:rPr>
        <w:t>proposed c</w:t>
      </w:r>
      <w:r w:rsidRPr="00FD6922">
        <w:rPr>
          <w:rFonts w:ascii="Times New Roman" w:hAnsi="Times New Roman" w:cs="Times New Roman"/>
          <w:kern w:val="24"/>
          <w:sz w:val="24"/>
          <w:szCs w:val="24"/>
        </w:rPr>
        <w:t>omprehensive commercial privacy legislation</w:t>
      </w:r>
      <w:r w:rsidR="0020134B" w:rsidRPr="00FD6922">
        <w:rPr>
          <w:rFonts w:ascii="Times New Roman" w:hAnsi="Times New Roman" w:cs="Times New Roman"/>
          <w:kern w:val="24"/>
          <w:sz w:val="24"/>
          <w:szCs w:val="24"/>
        </w:rPr>
        <w:t xml:space="preserve"> that would expand U.S. privacy </w:t>
      </w:r>
      <w:r w:rsidR="00F655D9">
        <w:rPr>
          <w:rFonts w:ascii="Times New Roman" w:hAnsi="Times New Roman" w:cs="Times New Roman"/>
          <w:kern w:val="24"/>
          <w:sz w:val="24"/>
          <w:szCs w:val="24"/>
        </w:rPr>
        <w:t>to all other economic sectors</w:t>
      </w:r>
      <w:r w:rsidRPr="00FD6922">
        <w:rPr>
          <w:rFonts w:ascii="Times New Roman" w:hAnsi="Times New Roman" w:cs="Times New Roman"/>
          <w:kern w:val="24"/>
          <w:sz w:val="24"/>
          <w:szCs w:val="24"/>
        </w:rPr>
        <w:t>.</w:t>
      </w:r>
      <w:r w:rsidR="00CD3CBD">
        <w:rPr>
          <w:rStyle w:val="FootnoteReference"/>
          <w:rFonts w:ascii="Times New Roman" w:hAnsi="Times New Roman" w:cs="Times New Roman"/>
          <w:kern w:val="24"/>
          <w:sz w:val="24"/>
          <w:szCs w:val="24"/>
        </w:rPr>
        <w:footnoteReference w:id="153"/>
      </w:r>
      <w:r w:rsidR="00CD3CBD" w:rsidRPr="00FD6922">
        <w:rPr>
          <w:rFonts w:ascii="Times New Roman" w:hAnsi="Times New Roman" w:cs="Times New Roman"/>
          <w:kern w:val="24"/>
          <w:sz w:val="24"/>
          <w:szCs w:val="24"/>
        </w:rPr>
        <w:t xml:space="preserve"> </w:t>
      </w:r>
      <w:r w:rsidR="00EC5151">
        <w:rPr>
          <w:rFonts w:ascii="Times New Roman" w:hAnsi="Times New Roman" w:cs="Times New Roman"/>
          <w:kern w:val="24"/>
          <w:sz w:val="24"/>
          <w:szCs w:val="24"/>
        </w:rPr>
        <w:t xml:space="preserve"> </w:t>
      </w:r>
      <w:r w:rsidR="00641F1B" w:rsidRPr="00FD6922">
        <w:rPr>
          <w:rFonts w:ascii="Times New Roman" w:hAnsi="Times New Roman" w:cs="Times New Roman"/>
          <w:kern w:val="24"/>
          <w:sz w:val="24"/>
          <w:szCs w:val="24"/>
        </w:rPr>
        <w:t xml:space="preserve">The </w:t>
      </w:r>
      <w:r w:rsidR="00CD3CBD" w:rsidRPr="00FD6922">
        <w:rPr>
          <w:rFonts w:ascii="Times New Roman" w:hAnsi="Times New Roman" w:cs="Times New Roman"/>
          <w:kern w:val="24"/>
          <w:sz w:val="24"/>
          <w:szCs w:val="24"/>
        </w:rPr>
        <w:t>Commercial Privacy Bill of Rights Act of 2011, a bi-partisan bill introduced by Senator John McCain (R-</w:t>
      </w:r>
      <w:proofErr w:type="spellStart"/>
      <w:r w:rsidR="00CD3CBD" w:rsidRPr="00FD6922">
        <w:rPr>
          <w:rFonts w:ascii="Times New Roman" w:hAnsi="Times New Roman" w:cs="Times New Roman"/>
          <w:kern w:val="24"/>
          <w:sz w:val="24"/>
          <w:szCs w:val="24"/>
        </w:rPr>
        <w:t>Ariz</w:t>
      </w:r>
      <w:proofErr w:type="spellEnd"/>
      <w:r w:rsidR="00CD3CBD" w:rsidRPr="00FD6922">
        <w:rPr>
          <w:rFonts w:ascii="Times New Roman" w:hAnsi="Times New Roman" w:cs="Times New Roman"/>
          <w:kern w:val="24"/>
          <w:sz w:val="24"/>
          <w:szCs w:val="24"/>
        </w:rPr>
        <w:t>) and (then) Senator John Kerry (D-MA)</w:t>
      </w:r>
      <w:r w:rsidR="00440E9A">
        <w:rPr>
          <w:rFonts w:ascii="Times New Roman" w:hAnsi="Times New Roman" w:cs="Times New Roman"/>
          <w:kern w:val="24"/>
          <w:sz w:val="24"/>
          <w:szCs w:val="24"/>
        </w:rPr>
        <w:t>,</w:t>
      </w:r>
      <w:r w:rsidR="000661A5">
        <w:rPr>
          <w:rFonts w:ascii="Times New Roman" w:hAnsi="Times New Roman" w:cs="Times New Roman"/>
          <w:kern w:val="24"/>
          <w:sz w:val="24"/>
          <w:szCs w:val="24"/>
        </w:rPr>
        <w:t xml:space="preserve"> </w:t>
      </w:r>
      <w:r w:rsidR="00CD3CBD" w:rsidRPr="00FD6922">
        <w:rPr>
          <w:rFonts w:ascii="Times New Roman" w:hAnsi="Times New Roman" w:cs="Times New Roman"/>
          <w:kern w:val="24"/>
          <w:sz w:val="24"/>
          <w:szCs w:val="24"/>
        </w:rPr>
        <w:t>is the most developed of these legislative proposals</w:t>
      </w:r>
      <w:r w:rsidR="00F655D9">
        <w:rPr>
          <w:rFonts w:ascii="Times New Roman" w:hAnsi="Times New Roman" w:cs="Times New Roman"/>
          <w:kern w:val="24"/>
          <w:sz w:val="24"/>
          <w:szCs w:val="24"/>
        </w:rPr>
        <w:t xml:space="preserve"> and illustrates this legislative direction.</w:t>
      </w:r>
      <w:r w:rsidR="00EC5151">
        <w:rPr>
          <w:rStyle w:val="FootnoteReference"/>
          <w:rFonts w:ascii="Times New Roman" w:hAnsi="Times New Roman" w:cs="Times New Roman"/>
          <w:kern w:val="24"/>
          <w:sz w:val="24"/>
          <w:szCs w:val="24"/>
        </w:rPr>
        <w:footnoteReference w:id="154"/>
      </w:r>
      <w:r w:rsidR="00CD3CBD" w:rsidRPr="00FD6922">
        <w:rPr>
          <w:rFonts w:ascii="Times New Roman" w:hAnsi="Times New Roman" w:cs="Times New Roman"/>
          <w:kern w:val="24"/>
          <w:sz w:val="24"/>
          <w:szCs w:val="24"/>
        </w:rPr>
        <w:t xml:space="preserve"> </w:t>
      </w:r>
      <w:r w:rsidR="00074919">
        <w:rPr>
          <w:rFonts w:ascii="Times New Roman" w:hAnsi="Times New Roman" w:cs="Times New Roman"/>
          <w:kern w:val="24"/>
          <w:sz w:val="24"/>
          <w:szCs w:val="24"/>
        </w:rPr>
        <w:t>The bill would establish a broad set of privacy requirements – the commercial privacy “Bill of Rights.”</w:t>
      </w:r>
      <w:r w:rsidR="00074919" w:rsidRPr="00074919">
        <w:rPr>
          <w:rStyle w:val="FootnoteReference"/>
          <w:rFonts w:ascii="Times New Roman" w:hAnsi="Times New Roman" w:cs="Times New Roman"/>
          <w:kern w:val="24"/>
          <w:sz w:val="24"/>
          <w:szCs w:val="24"/>
        </w:rPr>
        <w:t xml:space="preserve"> </w:t>
      </w:r>
      <w:r w:rsidR="00074919">
        <w:rPr>
          <w:rStyle w:val="FootnoteReference"/>
          <w:rFonts w:ascii="Times New Roman" w:hAnsi="Times New Roman" w:cs="Times New Roman"/>
          <w:kern w:val="24"/>
          <w:sz w:val="24"/>
          <w:szCs w:val="24"/>
        </w:rPr>
        <w:footnoteReference w:id="155"/>
      </w:r>
      <w:r w:rsidR="00217832">
        <w:rPr>
          <w:rFonts w:ascii="Times New Roman" w:hAnsi="Times New Roman" w:cs="Times New Roman"/>
          <w:kern w:val="24"/>
          <w:sz w:val="24"/>
          <w:szCs w:val="24"/>
        </w:rPr>
        <w:t xml:space="preserve"> </w:t>
      </w:r>
      <w:r w:rsidR="00074919">
        <w:rPr>
          <w:rFonts w:ascii="Times New Roman" w:hAnsi="Times New Roman" w:cs="Times New Roman"/>
          <w:kern w:val="24"/>
          <w:sz w:val="24"/>
          <w:szCs w:val="24"/>
        </w:rPr>
        <w:t xml:space="preserve">It would then allow </w:t>
      </w:r>
      <w:r w:rsidR="00440E9A">
        <w:rPr>
          <w:rFonts w:ascii="Times New Roman" w:hAnsi="Times New Roman" w:cs="Times New Roman"/>
          <w:kern w:val="24"/>
          <w:sz w:val="24"/>
          <w:szCs w:val="24"/>
        </w:rPr>
        <w:t>sector-based trade associations</w:t>
      </w:r>
      <w:r w:rsidR="00074919">
        <w:rPr>
          <w:rFonts w:ascii="Times New Roman" w:hAnsi="Times New Roman" w:cs="Times New Roman"/>
          <w:kern w:val="24"/>
          <w:sz w:val="24"/>
          <w:szCs w:val="24"/>
        </w:rPr>
        <w:t xml:space="preserve"> (as well as other private entities) </w:t>
      </w:r>
      <w:r w:rsidR="00440E9A">
        <w:rPr>
          <w:rFonts w:ascii="Times New Roman" w:hAnsi="Times New Roman" w:cs="Times New Roman"/>
          <w:kern w:val="24"/>
          <w:sz w:val="24"/>
          <w:szCs w:val="24"/>
        </w:rPr>
        <w:t xml:space="preserve">to </w:t>
      </w:r>
      <w:r w:rsidR="00440E9A" w:rsidRPr="00440E9A">
        <w:rPr>
          <w:rFonts w:ascii="Times New Roman" w:hAnsi="Times New Roman" w:cs="Times New Roman"/>
          <w:kern w:val="24"/>
          <w:sz w:val="24"/>
          <w:szCs w:val="24"/>
        </w:rPr>
        <w:t xml:space="preserve">develop a code that </w:t>
      </w:r>
      <w:r w:rsidR="00074919">
        <w:rPr>
          <w:rFonts w:ascii="Times New Roman" w:hAnsi="Times New Roman" w:cs="Times New Roman"/>
          <w:kern w:val="24"/>
          <w:sz w:val="24"/>
          <w:szCs w:val="24"/>
        </w:rPr>
        <w:t>fleshes out the statute and applies it to their sector</w:t>
      </w:r>
      <w:r w:rsidR="00440E9A" w:rsidRPr="00440E9A">
        <w:rPr>
          <w:rFonts w:ascii="Times New Roman" w:hAnsi="Times New Roman" w:cs="Times New Roman"/>
          <w:kern w:val="24"/>
          <w:sz w:val="24"/>
          <w:szCs w:val="24"/>
        </w:rPr>
        <w:t>.</w:t>
      </w:r>
      <w:r w:rsidR="00440E9A">
        <w:rPr>
          <w:rStyle w:val="FootnoteReference"/>
          <w:rFonts w:ascii="Times New Roman" w:hAnsi="Times New Roman" w:cs="Times New Roman"/>
          <w:kern w:val="24"/>
          <w:sz w:val="24"/>
          <w:szCs w:val="24"/>
        </w:rPr>
        <w:footnoteReference w:id="156"/>
      </w:r>
      <w:r w:rsidR="00217832">
        <w:rPr>
          <w:rFonts w:ascii="Times New Roman" w:hAnsi="Times New Roman" w:cs="Times New Roman"/>
          <w:kern w:val="24"/>
          <w:sz w:val="24"/>
          <w:szCs w:val="24"/>
        </w:rPr>
        <w:t xml:space="preserve"> </w:t>
      </w:r>
      <w:r w:rsidR="00074919">
        <w:rPr>
          <w:rFonts w:ascii="Times New Roman" w:hAnsi="Times New Roman" w:cs="Times New Roman"/>
          <w:kern w:val="24"/>
          <w:sz w:val="24"/>
          <w:szCs w:val="24"/>
        </w:rPr>
        <w:t xml:space="preserve">If the FTC were to agree </w:t>
      </w:r>
      <w:r w:rsidR="00440E9A">
        <w:rPr>
          <w:rFonts w:ascii="Times New Roman" w:hAnsi="Times New Roman" w:cs="Times New Roman"/>
          <w:kern w:val="24"/>
          <w:sz w:val="24"/>
          <w:szCs w:val="24"/>
        </w:rPr>
        <w:t>that the code properly inte</w:t>
      </w:r>
      <w:r w:rsidR="00074919">
        <w:rPr>
          <w:rFonts w:ascii="Times New Roman" w:hAnsi="Times New Roman" w:cs="Times New Roman"/>
          <w:kern w:val="24"/>
          <w:sz w:val="24"/>
          <w:szCs w:val="24"/>
        </w:rPr>
        <w:t>rprets the statute, and approve</w:t>
      </w:r>
      <w:r w:rsidR="00440E9A">
        <w:rPr>
          <w:rFonts w:ascii="Times New Roman" w:hAnsi="Times New Roman" w:cs="Times New Roman"/>
          <w:kern w:val="24"/>
          <w:sz w:val="24"/>
          <w:szCs w:val="24"/>
        </w:rPr>
        <w:t xml:space="preserve"> it, then </w:t>
      </w:r>
      <w:r w:rsidR="00074919">
        <w:rPr>
          <w:rFonts w:ascii="Times New Roman" w:hAnsi="Times New Roman" w:cs="Times New Roman"/>
          <w:kern w:val="24"/>
          <w:sz w:val="24"/>
          <w:szCs w:val="24"/>
        </w:rPr>
        <w:t xml:space="preserve">the bill would grant those firms that </w:t>
      </w:r>
      <w:r w:rsidR="00440E9A">
        <w:rPr>
          <w:rFonts w:ascii="Times New Roman" w:hAnsi="Times New Roman" w:cs="Times New Roman"/>
          <w:kern w:val="24"/>
          <w:sz w:val="24"/>
          <w:szCs w:val="24"/>
        </w:rPr>
        <w:t xml:space="preserve">comply with the code a legal safe harbor analogous to the one that the </w:t>
      </w:r>
      <w:r w:rsidR="001C6D99">
        <w:rPr>
          <w:rFonts w:ascii="Times New Roman" w:hAnsi="Times New Roman" w:cs="Times New Roman"/>
          <w:kern w:val="24"/>
          <w:sz w:val="24"/>
          <w:szCs w:val="24"/>
        </w:rPr>
        <w:t xml:space="preserve">E.U. </w:t>
      </w:r>
      <w:r w:rsidR="00440E9A">
        <w:rPr>
          <w:rFonts w:ascii="Times New Roman" w:hAnsi="Times New Roman" w:cs="Times New Roman"/>
          <w:kern w:val="24"/>
          <w:sz w:val="24"/>
          <w:szCs w:val="24"/>
        </w:rPr>
        <w:t>provides for companies that follow an approved Community Code.</w:t>
      </w:r>
      <w:r w:rsidR="00074919">
        <w:rPr>
          <w:rStyle w:val="FootnoteReference"/>
          <w:rFonts w:ascii="Times New Roman" w:hAnsi="Times New Roman" w:cs="Times New Roman"/>
          <w:kern w:val="24"/>
          <w:sz w:val="24"/>
          <w:szCs w:val="24"/>
        </w:rPr>
        <w:footnoteReference w:id="157"/>
      </w:r>
      <w:r w:rsidR="00440E9A">
        <w:rPr>
          <w:rFonts w:ascii="Times New Roman" w:hAnsi="Times New Roman" w:cs="Times New Roman"/>
          <w:kern w:val="24"/>
          <w:sz w:val="24"/>
          <w:szCs w:val="24"/>
        </w:rPr>
        <w:t xml:space="preserve"> </w:t>
      </w:r>
      <w:r w:rsidR="00217832">
        <w:rPr>
          <w:rFonts w:ascii="Times New Roman" w:hAnsi="Times New Roman" w:cs="Times New Roman"/>
          <w:kern w:val="24"/>
          <w:sz w:val="24"/>
          <w:szCs w:val="24"/>
        </w:rPr>
        <w:t xml:space="preserve"> </w:t>
      </w:r>
      <w:r w:rsidR="00440E9A">
        <w:rPr>
          <w:rFonts w:ascii="Times New Roman" w:hAnsi="Times New Roman" w:cs="Times New Roman"/>
          <w:kern w:val="24"/>
          <w:sz w:val="24"/>
          <w:szCs w:val="24"/>
        </w:rPr>
        <w:t>This is a far stronger safe harbor than the one that would otherwise be available to U.S. companies under the APEC CBPR system.</w:t>
      </w:r>
      <w:r w:rsidR="00217832">
        <w:rPr>
          <w:rFonts w:ascii="Times New Roman" w:hAnsi="Times New Roman" w:cs="Times New Roman"/>
          <w:kern w:val="24"/>
          <w:sz w:val="24"/>
          <w:szCs w:val="24"/>
        </w:rPr>
        <w:t xml:space="preserve"> </w:t>
      </w:r>
      <w:r w:rsidR="00F655D9">
        <w:rPr>
          <w:rFonts w:ascii="Times New Roman" w:hAnsi="Times New Roman" w:cs="Times New Roman"/>
          <w:kern w:val="24"/>
          <w:sz w:val="24"/>
          <w:szCs w:val="24"/>
        </w:rPr>
        <w:t xml:space="preserve">While </w:t>
      </w:r>
      <w:r w:rsidR="00CD3CBD" w:rsidRPr="00FD6922">
        <w:rPr>
          <w:rFonts w:ascii="Times New Roman" w:hAnsi="Times New Roman" w:cs="Times New Roman"/>
          <w:kern w:val="24"/>
          <w:sz w:val="24"/>
          <w:szCs w:val="24"/>
        </w:rPr>
        <w:t>Congress is unlikely to pass comprehensive privacy legislation in th</w:t>
      </w:r>
      <w:r w:rsidR="00CD3CBD" w:rsidRPr="00440E9A">
        <w:rPr>
          <w:rFonts w:ascii="Times New Roman" w:hAnsi="Times New Roman" w:cs="Times New Roman"/>
          <w:kern w:val="24"/>
          <w:sz w:val="24"/>
          <w:szCs w:val="24"/>
        </w:rPr>
        <w:t>e near future</w:t>
      </w:r>
      <w:r w:rsidR="00F655D9" w:rsidRPr="00440E9A">
        <w:rPr>
          <w:rFonts w:ascii="Times New Roman" w:hAnsi="Times New Roman" w:cs="Times New Roman"/>
          <w:kern w:val="24"/>
          <w:sz w:val="24"/>
          <w:szCs w:val="24"/>
        </w:rPr>
        <w:t xml:space="preserve">, </w:t>
      </w:r>
      <w:r w:rsidR="0020134B" w:rsidRPr="00440E9A">
        <w:rPr>
          <w:rFonts w:ascii="Times New Roman" w:hAnsi="Times New Roman" w:cs="Times New Roman"/>
          <w:kern w:val="24"/>
          <w:sz w:val="24"/>
          <w:szCs w:val="24"/>
        </w:rPr>
        <w:t xml:space="preserve">another major controversy regarding </w:t>
      </w:r>
      <w:r w:rsidR="0020134B" w:rsidRPr="00440E9A">
        <w:rPr>
          <w:rFonts w:ascii="Times New Roman" w:hAnsi="Times New Roman" w:cs="Times New Roman"/>
          <w:kern w:val="24"/>
          <w:sz w:val="24"/>
          <w:szCs w:val="24"/>
        </w:rPr>
        <w:lastRenderedPageBreak/>
        <w:t>commercial holdings of personal data, coming on top of</w:t>
      </w:r>
      <w:r w:rsidR="00E2155D" w:rsidRPr="00440E9A">
        <w:rPr>
          <w:rFonts w:ascii="Times New Roman" w:hAnsi="Times New Roman" w:cs="Times New Roman"/>
          <w:kern w:val="24"/>
          <w:sz w:val="24"/>
          <w:szCs w:val="24"/>
        </w:rPr>
        <w:t xml:space="preserve"> the </w:t>
      </w:r>
      <w:r w:rsidR="00641F1B" w:rsidRPr="00440E9A">
        <w:rPr>
          <w:rFonts w:ascii="Times New Roman" w:hAnsi="Times New Roman" w:cs="Times New Roman"/>
          <w:kern w:val="24"/>
          <w:sz w:val="24"/>
          <w:szCs w:val="24"/>
        </w:rPr>
        <w:t>recent scandal</w:t>
      </w:r>
      <w:r w:rsidR="00E2155D" w:rsidRPr="00440E9A">
        <w:rPr>
          <w:rFonts w:ascii="Times New Roman" w:hAnsi="Times New Roman" w:cs="Times New Roman"/>
          <w:kern w:val="24"/>
          <w:sz w:val="24"/>
          <w:szCs w:val="24"/>
        </w:rPr>
        <w:t xml:space="preserve"> involving National Security Agency access to private-sector phone and Internet records</w:t>
      </w:r>
      <w:r w:rsidR="00641F1B" w:rsidRPr="00440E9A">
        <w:rPr>
          <w:rFonts w:ascii="Times New Roman" w:hAnsi="Times New Roman" w:cs="Times New Roman"/>
          <w:kern w:val="24"/>
          <w:sz w:val="24"/>
          <w:szCs w:val="24"/>
        </w:rPr>
        <w:t xml:space="preserve">, could </w:t>
      </w:r>
      <w:r w:rsidR="00F655D9" w:rsidRPr="00440E9A">
        <w:rPr>
          <w:rFonts w:ascii="Times New Roman" w:hAnsi="Times New Roman" w:cs="Times New Roman"/>
          <w:kern w:val="24"/>
          <w:sz w:val="24"/>
          <w:szCs w:val="24"/>
        </w:rPr>
        <w:t>cause it to act</w:t>
      </w:r>
      <w:r w:rsidR="00FE7DDE" w:rsidRPr="00440E9A">
        <w:rPr>
          <w:rFonts w:ascii="Times New Roman" w:hAnsi="Times New Roman" w:cs="Times New Roman"/>
          <w:kern w:val="24"/>
          <w:sz w:val="24"/>
          <w:szCs w:val="24"/>
        </w:rPr>
        <w:t>.</w:t>
      </w:r>
    </w:p>
    <w:p w:rsidR="00FD6922" w:rsidRDefault="000661A5"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This evolving picture complicates the analysis of whether comprehensive </w:t>
      </w:r>
      <w:r w:rsidR="001C6D99">
        <w:rPr>
          <w:rFonts w:ascii="Times New Roman" w:hAnsi="Times New Roman" w:cs="Times New Roman"/>
          <w:kern w:val="24"/>
          <w:sz w:val="24"/>
          <w:szCs w:val="24"/>
        </w:rPr>
        <w:t>E.U.,</w:t>
      </w:r>
      <w:r w:rsidR="000D050C" w:rsidRPr="00FD6922">
        <w:rPr>
          <w:rFonts w:ascii="Times New Roman" w:hAnsi="Times New Roman" w:cs="Times New Roman"/>
          <w:kern w:val="24"/>
          <w:sz w:val="24"/>
          <w:szCs w:val="24"/>
        </w:rPr>
        <w:t xml:space="preserve"> APEC and </w:t>
      </w:r>
      <w:r>
        <w:rPr>
          <w:rFonts w:ascii="Times New Roman" w:hAnsi="Times New Roman" w:cs="Times New Roman"/>
          <w:kern w:val="24"/>
          <w:sz w:val="24"/>
          <w:szCs w:val="24"/>
        </w:rPr>
        <w:t xml:space="preserve">(potentially) </w:t>
      </w:r>
      <w:r w:rsidR="000D050C" w:rsidRPr="00FD6922">
        <w:rPr>
          <w:rFonts w:ascii="Times New Roman" w:hAnsi="Times New Roman" w:cs="Times New Roman"/>
          <w:kern w:val="24"/>
          <w:sz w:val="24"/>
          <w:szCs w:val="24"/>
        </w:rPr>
        <w:t>U.S. privacy law</w:t>
      </w:r>
      <w:r w:rsidR="00FC4972">
        <w:rPr>
          <w:rFonts w:ascii="Times New Roman" w:hAnsi="Times New Roman" w:cs="Times New Roman"/>
          <w:kern w:val="24"/>
          <w:sz w:val="24"/>
          <w:szCs w:val="24"/>
        </w:rPr>
        <w:t>s</w:t>
      </w:r>
      <w:r w:rsidR="000D050C" w:rsidRPr="00FD6922">
        <w:rPr>
          <w:rFonts w:ascii="Times New Roman" w:hAnsi="Times New Roman" w:cs="Times New Roman"/>
          <w:kern w:val="24"/>
          <w:sz w:val="24"/>
          <w:szCs w:val="24"/>
        </w:rPr>
        <w:t xml:space="preserve"> </w:t>
      </w:r>
      <w:r w:rsidR="00FC4972">
        <w:rPr>
          <w:rFonts w:ascii="Times New Roman" w:hAnsi="Times New Roman" w:cs="Times New Roman"/>
          <w:kern w:val="24"/>
          <w:sz w:val="24"/>
          <w:szCs w:val="24"/>
        </w:rPr>
        <w:t xml:space="preserve">overlap </w:t>
      </w:r>
      <w:r>
        <w:rPr>
          <w:rFonts w:ascii="Times New Roman" w:hAnsi="Times New Roman" w:cs="Times New Roman"/>
          <w:kern w:val="24"/>
          <w:sz w:val="24"/>
          <w:szCs w:val="24"/>
        </w:rPr>
        <w:t xml:space="preserve">sufficiently for a cross-border code </w:t>
      </w:r>
      <w:r w:rsidR="007824D1">
        <w:rPr>
          <w:rFonts w:ascii="Times New Roman" w:hAnsi="Times New Roman" w:cs="Times New Roman"/>
          <w:kern w:val="24"/>
          <w:sz w:val="24"/>
          <w:szCs w:val="24"/>
        </w:rPr>
        <w:t xml:space="preserve">to </w:t>
      </w:r>
      <w:r>
        <w:rPr>
          <w:rFonts w:ascii="Times New Roman" w:hAnsi="Times New Roman" w:cs="Times New Roman"/>
          <w:kern w:val="24"/>
          <w:sz w:val="24"/>
          <w:szCs w:val="24"/>
        </w:rPr>
        <w:t xml:space="preserve">incorporate the requirements of each.  </w:t>
      </w:r>
      <w:r w:rsidR="007824D1">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It requires that the analysis </w:t>
      </w:r>
      <w:r w:rsidR="000D050C" w:rsidRPr="00FD6922">
        <w:rPr>
          <w:rFonts w:ascii="Times New Roman" w:hAnsi="Times New Roman" w:cs="Times New Roman"/>
          <w:kern w:val="24"/>
          <w:sz w:val="24"/>
          <w:szCs w:val="24"/>
        </w:rPr>
        <w:t xml:space="preserve">consider </w:t>
      </w:r>
      <w:r w:rsidR="007824D1">
        <w:rPr>
          <w:rFonts w:ascii="Times New Roman" w:hAnsi="Times New Roman" w:cs="Times New Roman"/>
          <w:kern w:val="24"/>
          <w:sz w:val="24"/>
          <w:szCs w:val="24"/>
        </w:rPr>
        <w:t xml:space="preserve">four bodies of privacy law: the 1995 Directive; the proposed General Data Protection Regulation; the APEC Privacy Principles; and the Commercial Privacy Bill of Rights Act (the Congressional bill that has received the most attention and that best represents how U.S. privacy law may evolve in the future.) </w:t>
      </w:r>
    </w:p>
    <w:p w:rsidR="00E20180" w:rsidRDefault="000661A5"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Table 2 </w:t>
      </w:r>
      <w:r w:rsidR="002D381C" w:rsidRPr="00FD6922">
        <w:rPr>
          <w:rFonts w:ascii="Times New Roman" w:hAnsi="Times New Roman" w:cs="Times New Roman"/>
          <w:kern w:val="24"/>
          <w:sz w:val="24"/>
          <w:szCs w:val="24"/>
        </w:rPr>
        <w:t>depict</w:t>
      </w:r>
      <w:r w:rsidR="007D0861" w:rsidRPr="00FD6922">
        <w:rPr>
          <w:rFonts w:ascii="Times New Roman" w:hAnsi="Times New Roman" w:cs="Times New Roman"/>
          <w:kern w:val="24"/>
          <w:sz w:val="24"/>
          <w:szCs w:val="24"/>
        </w:rPr>
        <w:t>s</w:t>
      </w:r>
      <w:r w:rsidR="00AD6684" w:rsidRPr="00FD6922">
        <w:rPr>
          <w:rFonts w:ascii="Times New Roman" w:hAnsi="Times New Roman" w:cs="Times New Roman"/>
          <w:kern w:val="24"/>
          <w:sz w:val="24"/>
          <w:szCs w:val="24"/>
        </w:rPr>
        <w:t xml:space="preserve"> </w:t>
      </w:r>
      <w:r w:rsidR="007D0861" w:rsidRPr="00FD6922">
        <w:rPr>
          <w:rFonts w:ascii="Times New Roman" w:hAnsi="Times New Roman" w:cs="Times New Roman"/>
          <w:kern w:val="24"/>
          <w:sz w:val="24"/>
          <w:szCs w:val="24"/>
        </w:rPr>
        <w:t xml:space="preserve">the </w:t>
      </w:r>
      <w:r w:rsidR="000B4231" w:rsidRPr="00FD6922">
        <w:rPr>
          <w:rFonts w:ascii="Times New Roman" w:hAnsi="Times New Roman" w:cs="Times New Roman"/>
          <w:kern w:val="24"/>
          <w:sz w:val="24"/>
          <w:szCs w:val="24"/>
        </w:rPr>
        <w:t xml:space="preserve">substantive contours of </w:t>
      </w:r>
      <w:r w:rsidR="00161F20">
        <w:rPr>
          <w:rFonts w:ascii="Times New Roman" w:hAnsi="Times New Roman" w:cs="Times New Roman"/>
          <w:kern w:val="24"/>
          <w:sz w:val="24"/>
          <w:szCs w:val="24"/>
        </w:rPr>
        <w:t xml:space="preserve">the </w:t>
      </w:r>
      <w:r w:rsidR="007D0861" w:rsidRPr="00FD6922">
        <w:rPr>
          <w:rFonts w:ascii="Times New Roman" w:hAnsi="Times New Roman" w:cs="Times New Roman"/>
          <w:kern w:val="24"/>
          <w:sz w:val="24"/>
          <w:szCs w:val="24"/>
        </w:rPr>
        <w:t xml:space="preserve">four existing and proposed sets of </w:t>
      </w:r>
      <w:r w:rsidR="00161F20">
        <w:rPr>
          <w:rFonts w:ascii="Times New Roman" w:hAnsi="Times New Roman" w:cs="Times New Roman"/>
          <w:kern w:val="24"/>
          <w:sz w:val="24"/>
          <w:szCs w:val="24"/>
        </w:rPr>
        <w:t>comprehensive privacy rules</w:t>
      </w:r>
      <w:r w:rsidR="00E92E2B">
        <w:rPr>
          <w:rFonts w:ascii="Times New Roman" w:hAnsi="Times New Roman" w:cs="Times New Roman"/>
          <w:kern w:val="24"/>
          <w:sz w:val="24"/>
          <w:szCs w:val="24"/>
        </w:rPr>
        <w:t>. The first column identifies</w:t>
      </w:r>
      <w:r w:rsidR="00161F20">
        <w:rPr>
          <w:rFonts w:ascii="Times New Roman" w:hAnsi="Times New Roman" w:cs="Times New Roman"/>
          <w:kern w:val="24"/>
          <w:sz w:val="24"/>
          <w:szCs w:val="24"/>
        </w:rPr>
        <w:t xml:space="preserve"> the main types of </w:t>
      </w:r>
      <w:r w:rsidR="00E92E2B">
        <w:rPr>
          <w:rFonts w:ascii="Times New Roman" w:hAnsi="Times New Roman" w:cs="Times New Roman"/>
          <w:kern w:val="24"/>
          <w:sz w:val="24"/>
          <w:szCs w:val="24"/>
        </w:rPr>
        <w:t>privacy-protective requirements</w:t>
      </w:r>
      <w:r w:rsidR="00161F20">
        <w:rPr>
          <w:rFonts w:ascii="Times New Roman" w:hAnsi="Times New Roman" w:cs="Times New Roman"/>
          <w:kern w:val="24"/>
          <w:sz w:val="24"/>
          <w:szCs w:val="24"/>
        </w:rPr>
        <w:t xml:space="preserve"> that such systems might include. Each of the </w:t>
      </w:r>
      <w:r w:rsidR="00E92E2B">
        <w:rPr>
          <w:rFonts w:ascii="Times New Roman" w:hAnsi="Times New Roman" w:cs="Times New Roman"/>
          <w:kern w:val="24"/>
          <w:sz w:val="24"/>
          <w:szCs w:val="24"/>
        </w:rPr>
        <w:t>subsequent columns are devoted to one set of privacy rules (</w:t>
      </w:r>
      <w:r w:rsidR="00E92E2B" w:rsidRPr="00FD6922">
        <w:rPr>
          <w:rFonts w:ascii="Times New Roman" w:hAnsi="Times New Roman" w:cs="Times New Roman"/>
          <w:kern w:val="24"/>
          <w:sz w:val="24"/>
          <w:szCs w:val="24"/>
        </w:rPr>
        <w:t xml:space="preserve">the 1995 Directive, </w:t>
      </w:r>
      <w:r w:rsidR="00E92E2B">
        <w:rPr>
          <w:rFonts w:ascii="Times New Roman" w:hAnsi="Times New Roman" w:cs="Times New Roman"/>
          <w:kern w:val="24"/>
          <w:sz w:val="24"/>
          <w:szCs w:val="24"/>
        </w:rPr>
        <w:t xml:space="preserve">the </w:t>
      </w:r>
      <w:r w:rsidR="00E92E2B" w:rsidRPr="00FD6922">
        <w:rPr>
          <w:rFonts w:ascii="Times New Roman" w:hAnsi="Times New Roman" w:cs="Times New Roman"/>
          <w:kern w:val="24"/>
          <w:sz w:val="24"/>
          <w:szCs w:val="24"/>
        </w:rPr>
        <w:t xml:space="preserve">proposed General Data Protection Regulation, </w:t>
      </w:r>
      <w:r w:rsidR="00E92E2B">
        <w:rPr>
          <w:rFonts w:ascii="Times New Roman" w:hAnsi="Times New Roman" w:cs="Times New Roman"/>
          <w:kern w:val="24"/>
          <w:sz w:val="24"/>
          <w:szCs w:val="24"/>
        </w:rPr>
        <w:t xml:space="preserve">the </w:t>
      </w:r>
      <w:r w:rsidR="00E92E2B" w:rsidRPr="00FD6922">
        <w:rPr>
          <w:rFonts w:ascii="Times New Roman" w:hAnsi="Times New Roman" w:cs="Times New Roman"/>
          <w:kern w:val="24"/>
          <w:sz w:val="24"/>
          <w:szCs w:val="24"/>
        </w:rPr>
        <w:t>APEC Privacy Principles</w:t>
      </w:r>
      <w:r w:rsidR="00161F20">
        <w:rPr>
          <w:rFonts w:ascii="Times New Roman" w:hAnsi="Times New Roman" w:cs="Times New Roman"/>
          <w:kern w:val="24"/>
          <w:sz w:val="24"/>
          <w:szCs w:val="24"/>
        </w:rPr>
        <w:t>,</w:t>
      </w:r>
      <w:r w:rsidR="00E92E2B" w:rsidRPr="00FD6922">
        <w:rPr>
          <w:rFonts w:ascii="Times New Roman" w:hAnsi="Times New Roman" w:cs="Times New Roman"/>
          <w:kern w:val="24"/>
          <w:sz w:val="24"/>
          <w:szCs w:val="24"/>
        </w:rPr>
        <w:t xml:space="preserve"> </w:t>
      </w:r>
      <w:r w:rsidR="00E92E2B">
        <w:rPr>
          <w:rFonts w:ascii="Times New Roman" w:hAnsi="Times New Roman" w:cs="Times New Roman"/>
          <w:kern w:val="24"/>
          <w:sz w:val="24"/>
          <w:szCs w:val="24"/>
        </w:rPr>
        <w:t xml:space="preserve">or the Commercial Privacy Bill of Rights Act) and indicate whether that set </w:t>
      </w:r>
      <w:r w:rsidR="00161F20">
        <w:rPr>
          <w:rFonts w:ascii="Times New Roman" w:hAnsi="Times New Roman" w:cs="Times New Roman"/>
          <w:kern w:val="24"/>
          <w:sz w:val="24"/>
          <w:szCs w:val="24"/>
        </w:rPr>
        <w:t xml:space="preserve">of rules </w:t>
      </w:r>
      <w:r w:rsidR="00E92E2B">
        <w:rPr>
          <w:rFonts w:ascii="Times New Roman" w:hAnsi="Times New Roman" w:cs="Times New Roman"/>
          <w:kern w:val="24"/>
          <w:sz w:val="24"/>
          <w:szCs w:val="24"/>
        </w:rPr>
        <w:t xml:space="preserve">contains the listed privacy </w:t>
      </w:r>
      <w:r w:rsidR="00B274BD">
        <w:rPr>
          <w:rFonts w:ascii="Times New Roman" w:hAnsi="Times New Roman" w:cs="Times New Roman"/>
          <w:kern w:val="24"/>
          <w:sz w:val="24"/>
          <w:szCs w:val="24"/>
        </w:rPr>
        <w:t>requirements</w:t>
      </w:r>
      <w:r w:rsidR="00E92E2B">
        <w:rPr>
          <w:rFonts w:ascii="Times New Roman" w:hAnsi="Times New Roman" w:cs="Times New Roman"/>
          <w:kern w:val="24"/>
          <w:sz w:val="24"/>
          <w:szCs w:val="24"/>
        </w:rPr>
        <w:t xml:space="preserve">.  </w:t>
      </w:r>
      <w:r w:rsidR="00B274BD">
        <w:rPr>
          <w:rFonts w:ascii="Times New Roman" w:hAnsi="Times New Roman" w:cs="Times New Roman"/>
          <w:kern w:val="24"/>
          <w:sz w:val="24"/>
          <w:szCs w:val="24"/>
        </w:rPr>
        <w:t xml:space="preserve">This allows one to see the extent to which these systems overlap with one another. </w:t>
      </w:r>
    </w:p>
    <w:p w:rsidR="00E20180" w:rsidRDefault="00E20180">
      <w:pPr>
        <w:rPr>
          <w:rFonts w:ascii="Times New Roman" w:hAnsi="Times New Roman" w:cs="Times New Roman"/>
          <w:kern w:val="24"/>
          <w:sz w:val="24"/>
          <w:szCs w:val="24"/>
        </w:rPr>
      </w:pPr>
      <w:r>
        <w:rPr>
          <w:rFonts w:ascii="Times New Roman" w:hAnsi="Times New Roman" w:cs="Times New Roman"/>
          <w:kern w:val="24"/>
          <w:sz w:val="24"/>
          <w:szCs w:val="24"/>
        </w:rPr>
        <w:br w:type="page"/>
      </w:r>
    </w:p>
    <w:p w:rsidR="00422E1F" w:rsidRDefault="00422E1F" w:rsidP="001610E3">
      <w:pPr>
        <w:autoSpaceDE w:val="0"/>
        <w:autoSpaceDN w:val="0"/>
        <w:adjustRightInd w:val="0"/>
        <w:spacing w:after="0" w:line="480" w:lineRule="auto"/>
        <w:ind w:firstLine="720"/>
        <w:rPr>
          <w:rFonts w:ascii="Times New Roman" w:hAnsi="Times New Roman" w:cs="Times New Roman"/>
          <w:kern w:val="24"/>
          <w:sz w:val="24"/>
          <w:szCs w:val="24"/>
        </w:rPr>
      </w:pPr>
    </w:p>
    <w:p w:rsidR="007824D1" w:rsidRDefault="007824D1" w:rsidP="001610E3">
      <w:pPr>
        <w:autoSpaceDE w:val="0"/>
        <w:autoSpaceDN w:val="0"/>
        <w:adjustRightInd w:val="0"/>
        <w:spacing w:after="0" w:line="480" w:lineRule="auto"/>
        <w:ind w:firstLine="720"/>
        <w:rPr>
          <w:rFonts w:ascii="Times New Roman" w:hAnsi="Times New Roman" w:cs="Times New Roman"/>
          <w:kern w:val="24"/>
          <w:sz w:val="24"/>
          <w:szCs w:val="24"/>
        </w:rPr>
      </w:pPr>
    </w:p>
    <w:p w:rsidR="00E20180" w:rsidRDefault="00E20180" w:rsidP="00E20180">
      <w:pPr>
        <w:jc w:val="center"/>
      </w:pPr>
      <w:r>
        <w:t>TABLE 2: SUBSTANTIVE OVERLAP</w:t>
      </w:r>
      <w:r w:rsidR="00D70341">
        <w:t>*</w:t>
      </w:r>
    </w:p>
    <w:tbl>
      <w:tblPr>
        <w:tblStyle w:val="TableGrid"/>
        <w:tblW w:w="9576" w:type="dxa"/>
        <w:tblLook w:val="04A0" w:firstRow="1" w:lastRow="0" w:firstColumn="1" w:lastColumn="0" w:noHBand="0" w:noVBand="1"/>
      </w:tblPr>
      <w:tblGrid>
        <w:gridCol w:w="2358"/>
        <w:gridCol w:w="1644"/>
        <w:gridCol w:w="1978"/>
        <w:gridCol w:w="1944"/>
        <w:gridCol w:w="1652"/>
      </w:tblGrid>
      <w:tr w:rsidR="00E20180" w:rsidRPr="003E78FD" w:rsidTr="00AD7383">
        <w:tc>
          <w:tcPr>
            <w:tcW w:w="2358" w:type="dxa"/>
            <w:vAlign w:val="center"/>
          </w:tcPr>
          <w:p w:rsidR="00E20180" w:rsidRPr="003E78FD" w:rsidRDefault="00E20180" w:rsidP="00AD7383">
            <w:pPr>
              <w:jc w:val="center"/>
              <w:rPr>
                <w:b/>
                <w:sz w:val="24"/>
                <w:szCs w:val="24"/>
              </w:rPr>
            </w:pPr>
            <w:r w:rsidRPr="003E78FD">
              <w:rPr>
                <w:b/>
                <w:sz w:val="24"/>
                <w:szCs w:val="24"/>
              </w:rPr>
              <w:t>Requirements</w:t>
            </w:r>
          </w:p>
        </w:tc>
        <w:tc>
          <w:tcPr>
            <w:tcW w:w="1644" w:type="dxa"/>
            <w:vAlign w:val="center"/>
          </w:tcPr>
          <w:p w:rsidR="00E20180" w:rsidRPr="003E78FD" w:rsidRDefault="00E20180" w:rsidP="00AD7383">
            <w:pPr>
              <w:jc w:val="center"/>
              <w:rPr>
                <w:b/>
                <w:sz w:val="24"/>
                <w:szCs w:val="24"/>
              </w:rPr>
            </w:pPr>
            <w:r w:rsidRPr="003E78FD">
              <w:rPr>
                <w:b/>
                <w:sz w:val="24"/>
                <w:szCs w:val="24"/>
              </w:rPr>
              <w:t>EU 1995 Directive</w:t>
            </w:r>
            <w:r>
              <w:rPr>
                <w:rStyle w:val="EndnoteReference"/>
                <w:b/>
                <w:sz w:val="24"/>
                <w:szCs w:val="24"/>
              </w:rPr>
              <w:endnoteReference w:id="1"/>
            </w:r>
          </w:p>
        </w:tc>
        <w:tc>
          <w:tcPr>
            <w:tcW w:w="1978" w:type="dxa"/>
            <w:vAlign w:val="center"/>
          </w:tcPr>
          <w:p w:rsidR="00E20180" w:rsidRPr="003E78FD" w:rsidRDefault="00E20180" w:rsidP="00AD7383">
            <w:pPr>
              <w:jc w:val="center"/>
              <w:rPr>
                <w:b/>
                <w:sz w:val="24"/>
                <w:szCs w:val="24"/>
              </w:rPr>
            </w:pPr>
            <w:r w:rsidRPr="003E78FD">
              <w:rPr>
                <w:b/>
                <w:sz w:val="24"/>
                <w:szCs w:val="24"/>
              </w:rPr>
              <w:t>EU General Regulation</w:t>
            </w:r>
            <w:r>
              <w:rPr>
                <w:rStyle w:val="EndnoteReference"/>
                <w:b/>
                <w:sz w:val="24"/>
                <w:szCs w:val="24"/>
              </w:rPr>
              <w:endnoteReference w:id="2"/>
            </w:r>
          </w:p>
        </w:tc>
        <w:tc>
          <w:tcPr>
            <w:tcW w:w="1944" w:type="dxa"/>
            <w:vAlign w:val="center"/>
          </w:tcPr>
          <w:p w:rsidR="00E20180" w:rsidRPr="00ED0273" w:rsidRDefault="00E20180" w:rsidP="00AD7383">
            <w:pPr>
              <w:jc w:val="center"/>
              <w:rPr>
                <w:rFonts w:eastAsia="Calibri" w:cs="Times New Roman"/>
                <w:b/>
                <w:color w:val="000000"/>
                <w:kern w:val="24"/>
                <w:sz w:val="24"/>
                <w:szCs w:val="24"/>
              </w:rPr>
            </w:pPr>
            <w:r w:rsidRPr="00ED0273">
              <w:rPr>
                <w:rFonts w:eastAsia="Calibri" w:cs="Times New Roman"/>
                <w:b/>
                <w:color w:val="000000"/>
                <w:kern w:val="24"/>
                <w:sz w:val="24"/>
                <w:szCs w:val="24"/>
              </w:rPr>
              <w:t>APEC</w:t>
            </w:r>
          </w:p>
          <w:p w:rsidR="00E20180" w:rsidRPr="00ED0273" w:rsidRDefault="00E20180" w:rsidP="00AD7383">
            <w:pPr>
              <w:jc w:val="center"/>
              <w:rPr>
                <w:rFonts w:eastAsia="Calibri" w:cs="Times New Roman"/>
                <w:b/>
                <w:color w:val="000000"/>
                <w:kern w:val="24"/>
                <w:sz w:val="24"/>
                <w:szCs w:val="24"/>
              </w:rPr>
            </w:pPr>
            <w:r w:rsidRPr="00ED0273">
              <w:rPr>
                <w:rFonts w:eastAsia="Calibri" w:cs="Times New Roman"/>
                <w:b/>
                <w:color w:val="000000"/>
                <w:kern w:val="24"/>
                <w:sz w:val="24"/>
                <w:szCs w:val="24"/>
              </w:rPr>
              <w:t>Privacy</w:t>
            </w:r>
          </w:p>
          <w:p w:rsidR="00E20180" w:rsidRPr="00ED0273" w:rsidRDefault="00E20180" w:rsidP="00AD7383">
            <w:pPr>
              <w:jc w:val="center"/>
              <w:rPr>
                <w:rFonts w:eastAsia="Calibri" w:cs="Times New Roman"/>
                <w:color w:val="000000"/>
                <w:kern w:val="24"/>
                <w:sz w:val="24"/>
                <w:szCs w:val="24"/>
              </w:rPr>
            </w:pPr>
            <w:r w:rsidRPr="00ED0273">
              <w:rPr>
                <w:rFonts w:eastAsia="Calibri" w:cs="Times New Roman"/>
                <w:b/>
                <w:color w:val="000000"/>
                <w:kern w:val="24"/>
                <w:sz w:val="24"/>
                <w:szCs w:val="24"/>
              </w:rPr>
              <w:t>Principles</w:t>
            </w:r>
            <w:r>
              <w:rPr>
                <w:rStyle w:val="EndnoteReference"/>
                <w:rFonts w:eastAsia="Calibri" w:cs="Times New Roman"/>
                <w:b/>
                <w:color w:val="000000"/>
                <w:kern w:val="24"/>
                <w:sz w:val="24"/>
                <w:szCs w:val="24"/>
              </w:rPr>
              <w:endnoteReference w:id="3"/>
            </w:r>
          </w:p>
        </w:tc>
        <w:tc>
          <w:tcPr>
            <w:tcW w:w="1652" w:type="dxa"/>
            <w:vAlign w:val="center"/>
          </w:tcPr>
          <w:p w:rsidR="00E20180" w:rsidRPr="0005740D" w:rsidRDefault="00E20180" w:rsidP="00AD7383">
            <w:pPr>
              <w:jc w:val="center"/>
              <w:rPr>
                <w:rFonts w:eastAsia="Times New Roman" w:cs="Arial"/>
                <w:sz w:val="24"/>
                <w:szCs w:val="24"/>
              </w:rPr>
            </w:pPr>
            <w:r>
              <w:rPr>
                <w:rFonts w:eastAsia="Calibri" w:cs="Times New Roman"/>
                <w:b/>
                <w:color w:val="000000"/>
                <w:kern w:val="24"/>
                <w:sz w:val="24"/>
                <w:szCs w:val="24"/>
              </w:rPr>
              <w:t>US Commercial Privacy Bill of Rights Act</w:t>
            </w:r>
            <w:r>
              <w:rPr>
                <w:rStyle w:val="EndnoteReference"/>
                <w:rFonts w:eastAsia="Calibri" w:cs="Times New Roman"/>
                <w:b/>
                <w:color w:val="000000"/>
                <w:kern w:val="24"/>
                <w:sz w:val="24"/>
                <w:szCs w:val="24"/>
              </w:rPr>
              <w:endnoteReference w:id="4"/>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Transparency of data practices</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5"/>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7"/>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8"/>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Choice/Consent</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9"/>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10"/>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11"/>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12"/>
            </w: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Legitimate bases (other than consent)</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13"/>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14"/>
            </w:r>
          </w:p>
        </w:tc>
        <w:tc>
          <w:tcPr>
            <w:tcW w:w="1944" w:type="dxa"/>
            <w:vAlign w:val="center"/>
          </w:tcPr>
          <w:p w:rsidR="00E20180" w:rsidRPr="00ED0273" w:rsidRDefault="00E20180" w:rsidP="00AD7383">
            <w:pPr>
              <w:jc w:val="center"/>
              <w:rPr>
                <w:rFonts w:eastAsia="Calibri" w:cs="Times New Roman"/>
                <w:color w:val="000000"/>
                <w:kern w:val="24"/>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15"/>
            </w:r>
          </w:p>
        </w:tc>
        <w:tc>
          <w:tcPr>
            <w:tcW w:w="1652" w:type="dxa"/>
            <w:vAlign w:val="center"/>
          </w:tcPr>
          <w:p w:rsidR="00E20180" w:rsidRPr="0005740D" w:rsidRDefault="00E20180" w:rsidP="00AD7383">
            <w:pPr>
              <w:jc w:val="center"/>
              <w:rPr>
                <w:rFonts w:eastAsia="Calibri" w:cs="Times New Roman"/>
                <w:color w:val="000000"/>
                <w:kern w:val="24"/>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16"/>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Security safeguards</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17"/>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18"/>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19"/>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20"/>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Accuracy</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21"/>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22"/>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23"/>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24"/>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Access</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25"/>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26"/>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27"/>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28"/>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Correction</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29"/>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30"/>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31"/>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32"/>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Purpose limits use</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33"/>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34"/>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35"/>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36"/>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Sensitive data</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37"/>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38"/>
            </w:r>
          </w:p>
        </w:tc>
        <w:tc>
          <w:tcPr>
            <w:tcW w:w="1944" w:type="dxa"/>
            <w:vAlign w:val="center"/>
          </w:tcPr>
          <w:p w:rsidR="00E20180" w:rsidRPr="00ED0273" w:rsidRDefault="00E20180" w:rsidP="00AD7383">
            <w:pPr>
              <w:jc w:val="center"/>
              <w:rPr>
                <w:rFonts w:eastAsia="Times New Roman" w:cs="Arial"/>
                <w:sz w:val="24"/>
                <w:szCs w:val="24"/>
              </w:rPr>
            </w:pPr>
            <w:r>
              <w:rPr>
                <w:rFonts w:eastAsia="Calibri" w:cs="Times New Roman"/>
                <w:color w:val="000000"/>
                <w:kern w:val="24"/>
                <w:sz w:val="24"/>
                <w:szCs w:val="24"/>
              </w:rPr>
              <w:t>(</w:t>
            </w:r>
            <w:r w:rsidRPr="00ED0273">
              <w:rPr>
                <w:rFonts w:eastAsia="Calibri" w:cs="Times New Roman"/>
                <w:color w:val="000000"/>
                <w:kern w:val="24"/>
                <w:sz w:val="24"/>
                <w:szCs w:val="24"/>
              </w:rPr>
              <w:t>√</w:t>
            </w:r>
            <w:r>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39"/>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40"/>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Accountability</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41"/>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42"/>
            </w: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43"/>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Purpose limits collection</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44"/>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45"/>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46"/>
            </w: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Data Minimization</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47"/>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48"/>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49"/>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Fair and Lawful</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50"/>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51"/>
            </w: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52"/>
            </w: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Retention and disposal</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53"/>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54"/>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55"/>
            </w: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Privacy by Design</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56"/>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57"/>
            </w: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 xml:space="preserve">Prior check </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58"/>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59"/>
            </w:r>
          </w:p>
        </w:tc>
        <w:tc>
          <w:tcPr>
            <w:tcW w:w="1944" w:type="dxa"/>
            <w:vAlign w:val="center"/>
          </w:tcPr>
          <w:p w:rsidR="00E20180" w:rsidRPr="00ED0273" w:rsidRDefault="00E20180" w:rsidP="00AD7383">
            <w:pPr>
              <w:jc w:val="center"/>
              <w:rPr>
                <w:rFonts w:eastAsia="Calibri" w:cs="Times New Roman"/>
                <w:color w:val="000000"/>
                <w:kern w:val="24"/>
                <w:sz w:val="24"/>
                <w:szCs w:val="24"/>
              </w:rPr>
            </w:pPr>
          </w:p>
        </w:tc>
        <w:tc>
          <w:tcPr>
            <w:tcW w:w="1652" w:type="dxa"/>
            <w:vAlign w:val="center"/>
          </w:tcPr>
          <w:p w:rsidR="00E20180" w:rsidRPr="0005740D" w:rsidRDefault="00E20180" w:rsidP="00AD7383">
            <w:pPr>
              <w:jc w:val="center"/>
              <w:rPr>
                <w:rFonts w:eastAsia="Calibri" w:cs="Times New Roman"/>
                <w:color w:val="000000"/>
                <w:kern w:val="24"/>
                <w:sz w:val="24"/>
                <w:szCs w:val="24"/>
              </w:rPr>
            </w:pP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Right to Object</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0"/>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1"/>
            </w:r>
          </w:p>
        </w:tc>
        <w:tc>
          <w:tcPr>
            <w:tcW w:w="1944" w:type="dxa"/>
            <w:vAlign w:val="center"/>
          </w:tcPr>
          <w:p w:rsidR="00E20180" w:rsidRPr="00ED0273" w:rsidRDefault="00E20180" w:rsidP="00AD7383">
            <w:pPr>
              <w:jc w:val="center"/>
              <w:rPr>
                <w:rFonts w:eastAsia="Calibri" w:cs="Times New Roman"/>
                <w:color w:val="000000"/>
                <w:kern w:val="24"/>
                <w:sz w:val="24"/>
                <w:szCs w:val="24"/>
              </w:rPr>
            </w:pPr>
          </w:p>
        </w:tc>
        <w:tc>
          <w:tcPr>
            <w:tcW w:w="1652" w:type="dxa"/>
            <w:vAlign w:val="center"/>
          </w:tcPr>
          <w:p w:rsidR="00E20180" w:rsidRPr="0005740D" w:rsidRDefault="00E20180" w:rsidP="00AD7383">
            <w:pPr>
              <w:jc w:val="center"/>
              <w:rPr>
                <w:rFonts w:eastAsia="Calibri" w:cs="Times New Roman"/>
                <w:color w:val="000000"/>
                <w:kern w:val="24"/>
                <w:sz w:val="24"/>
                <w:szCs w:val="24"/>
              </w:rPr>
            </w:pP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Automated decisions</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2"/>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3"/>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Calibri" w:cs="Times New Roman"/>
                <w:color w:val="000000"/>
                <w:kern w:val="24"/>
                <w:sz w:val="24"/>
                <w:szCs w:val="24"/>
              </w:rPr>
            </w:pP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Notification to data subject</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4"/>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5"/>
            </w:r>
          </w:p>
        </w:tc>
        <w:tc>
          <w:tcPr>
            <w:tcW w:w="1944" w:type="dxa"/>
            <w:vAlign w:val="center"/>
          </w:tcPr>
          <w:p w:rsidR="00E20180" w:rsidRPr="00ED0273" w:rsidRDefault="00E20180" w:rsidP="00AD7383">
            <w:pPr>
              <w:jc w:val="center"/>
              <w:rPr>
                <w:rFonts w:eastAsia="Calibri" w:cs="Times New Roman"/>
                <w:color w:val="000000"/>
                <w:kern w:val="24"/>
                <w:sz w:val="24"/>
                <w:szCs w:val="24"/>
              </w:rPr>
            </w:pPr>
          </w:p>
        </w:tc>
        <w:tc>
          <w:tcPr>
            <w:tcW w:w="1652" w:type="dxa"/>
            <w:vAlign w:val="center"/>
          </w:tcPr>
          <w:p w:rsidR="00E20180" w:rsidRPr="0005740D" w:rsidRDefault="00E20180" w:rsidP="00AD7383">
            <w:pPr>
              <w:jc w:val="center"/>
              <w:rPr>
                <w:rFonts w:eastAsia="Calibri" w:cs="Times New Roman"/>
                <w:color w:val="000000"/>
                <w:kern w:val="24"/>
                <w:sz w:val="24"/>
                <w:szCs w:val="24"/>
              </w:rPr>
            </w:pP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Children’s data requires parent’s consent</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6"/>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r>
              <w:rPr>
                <w:rFonts w:eastAsia="Calibri" w:cs="Times New Roman"/>
                <w:color w:val="000000"/>
                <w:kern w:val="24"/>
                <w:sz w:val="24"/>
                <w:szCs w:val="24"/>
              </w:rPr>
              <w:t>(</w:t>
            </w:r>
            <w:r w:rsidRPr="0005740D">
              <w:rPr>
                <w:rFonts w:eastAsia="Calibri" w:cs="Times New Roman"/>
                <w:color w:val="000000"/>
                <w:kern w:val="24"/>
                <w:sz w:val="24"/>
                <w:szCs w:val="24"/>
              </w:rPr>
              <w:t>√</w:t>
            </w:r>
            <w:r>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67"/>
            </w: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Data Protection by Default</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8"/>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Calibri" w:cs="Times New Roman"/>
                <w:color w:val="000000"/>
                <w:kern w:val="24"/>
                <w:sz w:val="24"/>
                <w:szCs w:val="24"/>
              </w:rPr>
            </w:pP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Privacy Impact Assessment</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69"/>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r w:rsidRPr="0005740D">
              <w:rPr>
                <w:rFonts w:eastAsia="Calibri" w:cs="Times New Roman"/>
                <w:color w:val="000000"/>
                <w:kern w:val="24"/>
                <w:sz w:val="24"/>
                <w:szCs w:val="24"/>
              </w:rPr>
              <w:t>√</w:t>
            </w: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Notification to data protection authority</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0"/>
            </w:r>
          </w:p>
        </w:tc>
        <w:tc>
          <w:tcPr>
            <w:tcW w:w="1978" w:type="dxa"/>
            <w:vAlign w:val="center"/>
          </w:tcPr>
          <w:p w:rsidR="00E20180" w:rsidRPr="003E78FD" w:rsidRDefault="00E20180" w:rsidP="00AD7383">
            <w:pPr>
              <w:jc w:val="center"/>
              <w:rPr>
                <w:sz w:val="24"/>
                <w:szCs w:val="24"/>
              </w:rPr>
            </w:pPr>
          </w:p>
        </w:tc>
        <w:tc>
          <w:tcPr>
            <w:tcW w:w="1944" w:type="dxa"/>
            <w:vAlign w:val="center"/>
          </w:tcPr>
          <w:p w:rsidR="00E20180" w:rsidRPr="00ED0273" w:rsidRDefault="00E20180" w:rsidP="00AD7383">
            <w:pPr>
              <w:jc w:val="center"/>
              <w:rPr>
                <w:rFonts w:eastAsia="Calibri" w:cs="Times New Roman"/>
                <w:color w:val="000000"/>
                <w:kern w:val="24"/>
                <w:sz w:val="24"/>
                <w:szCs w:val="24"/>
              </w:rPr>
            </w:pPr>
          </w:p>
        </w:tc>
        <w:tc>
          <w:tcPr>
            <w:tcW w:w="1652" w:type="dxa"/>
            <w:vAlign w:val="center"/>
          </w:tcPr>
          <w:p w:rsidR="00E20180" w:rsidRPr="0005740D" w:rsidRDefault="00E20180" w:rsidP="00AD7383">
            <w:pPr>
              <w:jc w:val="center"/>
              <w:rPr>
                <w:rFonts w:eastAsia="Calibri" w:cs="Times New Roman"/>
                <w:color w:val="000000"/>
                <w:kern w:val="24"/>
                <w:sz w:val="24"/>
                <w:szCs w:val="24"/>
              </w:rPr>
            </w:pP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lastRenderedPageBreak/>
              <w:t>Documentation of Processing</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1"/>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Right to be Forgotten and to Erasure</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2"/>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Data portability</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3"/>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Preventing harm</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p>
        </w:tc>
        <w:tc>
          <w:tcPr>
            <w:tcW w:w="1944" w:type="dxa"/>
            <w:vAlign w:val="center"/>
          </w:tcPr>
          <w:p w:rsidR="00E20180" w:rsidRPr="00ED0273" w:rsidRDefault="00E20180" w:rsidP="00AD7383">
            <w:pPr>
              <w:jc w:val="center"/>
              <w:rPr>
                <w:rFonts w:eastAsia="Times New Roman" w:cs="Arial"/>
                <w:sz w:val="24"/>
                <w:szCs w:val="24"/>
              </w:rPr>
            </w:pPr>
            <w:r w:rsidRPr="00ED0273">
              <w:rPr>
                <w:rFonts w:eastAsia="Calibri" w:cs="Times New Roman"/>
                <w:color w:val="000000"/>
                <w:kern w:val="24"/>
                <w:sz w:val="24"/>
                <w:szCs w:val="24"/>
              </w:rPr>
              <w:t>√</w:t>
            </w:r>
            <w:r>
              <w:rPr>
                <w:rStyle w:val="EndnoteReference"/>
                <w:rFonts w:eastAsia="Calibri" w:cs="Times New Roman"/>
                <w:color w:val="000000"/>
                <w:kern w:val="24"/>
                <w:sz w:val="24"/>
                <w:szCs w:val="24"/>
              </w:rPr>
              <w:endnoteReference w:id="74"/>
            </w: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Data Protection Officer</w:t>
            </w:r>
          </w:p>
        </w:tc>
        <w:tc>
          <w:tcPr>
            <w:tcW w:w="1644" w:type="dxa"/>
            <w:vAlign w:val="center"/>
          </w:tcPr>
          <w:p w:rsidR="00E20180" w:rsidRPr="003E78FD" w:rsidRDefault="00E20180" w:rsidP="00AD7383">
            <w:pPr>
              <w:jc w:val="center"/>
              <w:rPr>
                <w:sz w:val="24"/>
                <w:szCs w:val="24"/>
              </w:rPr>
            </w:pP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5"/>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r w:rsidRPr="003E78FD">
              <w:rPr>
                <w:rFonts w:eastAsia="Calibri" w:cs="Times New Roman"/>
                <w:color w:val="000000"/>
                <w:kern w:val="24"/>
                <w:sz w:val="24"/>
                <w:szCs w:val="24"/>
              </w:rPr>
              <w:t>Supervisory Authority</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6"/>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7"/>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Times New Roman" w:cs="Arial"/>
                <w:sz w:val="24"/>
                <w:szCs w:val="24"/>
              </w:rPr>
            </w:pPr>
            <w:r w:rsidRPr="003E78FD">
              <w:rPr>
                <w:rFonts w:eastAsia="Calibri" w:cs="Times New Roman"/>
                <w:color w:val="000000"/>
                <w:kern w:val="24"/>
                <w:sz w:val="24"/>
                <w:szCs w:val="24"/>
              </w:rPr>
              <w:t>“Adequacy” limit for int’l transfer</w:t>
            </w:r>
          </w:p>
        </w:tc>
        <w:tc>
          <w:tcPr>
            <w:tcW w:w="1644"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8"/>
            </w:r>
          </w:p>
        </w:tc>
        <w:tc>
          <w:tcPr>
            <w:tcW w:w="1978" w:type="dxa"/>
            <w:vAlign w:val="center"/>
          </w:tcPr>
          <w:p w:rsidR="00E20180" w:rsidRPr="003E78FD" w:rsidRDefault="00E20180" w:rsidP="00AD7383">
            <w:pPr>
              <w:jc w:val="center"/>
              <w:rPr>
                <w:sz w:val="24"/>
                <w:szCs w:val="24"/>
              </w:rPr>
            </w:pPr>
            <w:r>
              <w:rPr>
                <w:sz w:val="24"/>
                <w:szCs w:val="24"/>
              </w:rPr>
              <w:t>√</w:t>
            </w:r>
            <w:r>
              <w:rPr>
                <w:rStyle w:val="EndnoteReference"/>
                <w:sz w:val="24"/>
                <w:szCs w:val="24"/>
              </w:rPr>
              <w:endnoteReference w:id="79"/>
            </w: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p>
        </w:tc>
      </w:tr>
      <w:tr w:rsidR="00E20180" w:rsidRPr="003E78FD" w:rsidTr="00AD7383">
        <w:tc>
          <w:tcPr>
            <w:tcW w:w="2358" w:type="dxa"/>
            <w:vAlign w:val="center"/>
          </w:tcPr>
          <w:p w:rsidR="00E20180" w:rsidRPr="003E78FD" w:rsidRDefault="00E20180" w:rsidP="00AD7383">
            <w:pPr>
              <w:jc w:val="center"/>
              <w:rPr>
                <w:rFonts w:eastAsia="Calibri" w:cs="Times New Roman"/>
                <w:color w:val="000000"/>
                <w:kern w:val="24"/>
                <w:sz w:val="24"/>
                <w:szCs w:val="24"/>
              </w:rPr>
            </w:pPr>
          </w:p>
        </w:tc>
        <w:tc>
          <w:tcPr>
            <w:tcW w:w="1644" w:type="dxa"/>
            <w:vAlign w:val="center"/>
          </w:tcPr>
          <w:p w:rsidR="00E20180" w:rsidRDefault="00E20180" w:rsidP="00AD7383">
            <w:pPr>
              <w:jc w:val="center"/>
              <w:rPr>
                <w:sz w:val="24"/>
                <w:szCs w:val="24"/>
              </w:rPr>
            </w:pPr>
          </w:p>
        </w:tc>
        <w:tc>
          <w:tcPr>
            <w:tcW w:w="1978" w:type="dxa"/>
            <w:vAlign w:val="center"/>
          </w:tcPr>
          <w:p w:rsidR="00E20180" w:rsidRDefault="00E20180" w:rsidP="00AD7383">
            <w:pPr>
              <w:jc w:val="center"/>
              <w:rPr>
                <w:sz w:val="24"/>
                <w:szCs w:val="24"/>
              </w:rPr>
            </w:pPr>
          </w:p>
        </w:tc>
        <w:tc>
          <w:tcPr>
            <w:tcW w:w="1944" w:type="dxa"/>
            <w:vAlign w:val="center"/>
          </w:tcPr>
          <w:p w:rsidR="00E20180" w:rsidRPr="00ED0273" w:rsidRDefault="00E20180" w:rsidP="00AD7383">
            <w:pPr>
              <w:jc w:val="center"/>
              <w:rPr>
                <w:rFonts w:eastAsia="Times New Roman" w:cs="Arial"/>
                <w:sz w:val="24"/>
                <w:szCs w:val="24"/>
              </w:rPr>
            </w:pPr>
          </w:p>
        </w:tc>
        <w:tc>
          <w:tcPr>
            <w:tcW w:w="1652" w:type="dxa"/>
            <w:vAlign w:val="center"/>
          </w:tcPr>
          <w:p w:rsidR="00E20180" w:rsidRPr="0005740D" w:rsidRDefault="00E20180" w:rsidP="00AD7383">
            <w:pPr>
              <w:jc w:val="center"/>
              <w:rPr>
                <w:rFonts w:eastAsia="Times New Roman" w:cs="Arial"/>
                <w:sz w:val="24"/>
                <w:szCs w:val="24"/>
              </w:rPr>
            </w:pPr>
          </w:p>
        </w:tc>
      </w:tr>
    </w:tbl>
    <w:p w:rsidR="00E20180" w:rsidRDefault="00E20180" w:rsidP="00E20180">
      <w:pPr>
        <w:rPr>
          <w:rFonts w:ascii="Times New Roman" w:hAnsi="Times New Roman" w:cs="Times New Roman"/>
          <w:kern w:val="24"/>
          <w:sz w:val="24"/>
          <w:szCs w:val="24"/>
        </w:rPr>
      </w:pPr>
    </w:p>
    <w:p w:rsidR="007824D1" w:rsidRDefault="00E20180" w:rsidP="00E20180">
      <w:pPr>
        <w:rPr>
          <w:rFonts w:ascii="Times New Roman" w:hAnsi="Times New Roman" w:cs="Times New Roman"/>
          <w:kern w:val="24"/>
          <w:sz w:val="24"/>
          <w:szCs w:val="24"/>
        </w:rPr>
      </w:pPr>
      <w:r>
        <w:rPr>
          <w:rFonts w:ascii="Times New Roman" w:hAnsi="Times New Roman" w:cs="Times New Roman"/>
          <w:kern w:val="24"/>
          <w:sz w:val="24"/>
          <w:szCs w:val="24"/>
        </w:rPr>
        <w:t>* For Table endnotes, see pp. 49-50.</w:t>
      </w:r>
      <w:r w:rsidR="005C07E3">
        <w:rPr>
          <w:rFonts w:ascii="Times New Roman" w:hAnsi="Times New Roman" w:cs="Times New Roman"/>
          <w:kern w:val="24"/>
          <w:sz w:val="24"/>
          <w:szCs w:val="24"/>
        </w:rPr>
        <w:t xml:space="preserve">  These endnotes will be reformatted to fit with the table in the final version of this article.</w:t>
      </w:r>
    </w:p>
    <w:p w:rsidR="00E20180" w:rsidRDefault="00E20180" w:rsidP="00E20180">
      <w:pPr>
        <w:rPr>
          <w:rFonts w:ascii="Times New Roman" w:hAnsi="Times New Roman" w:cs="Times New Roman"/>
          <w:kern w:val="24"/>
          <w:sz w:val="24"/>
          <w:szCs w:val="24"/>
        </w:rPr>
      </w:pPr>
    </w:p>
    <w:p w:rsidR="00B67C8A" w:rsidRDefault="00161F20"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Table 2 shows </w:t>
      </w:r>
      <w:r w:rsidR="003A1712">
        <w:rPr>
          <w:rFonts w:ascii="Times New Roman" w:hAnsi="Times New Roman" w:cs="Times New Roman"/>
          <w:kern w:val="24"/>
          <w:sz w:val="24"/>
          <w:szCs w:val="24"/>
        </w:rPr>
        <w:t>that the four comprehensive systems of privacy rules do overlap in many of the most important areas.</w:t>
      </w:r>
      <w:r w:rsidR="003A1712">
        <w:rPr>
          <w:rStyle w:val="FootnoteReference"/>
          <w:rFonts w:ascii="Times New Roman" w:hAnsi="Times New Roman" w:cs="Times New Roman"/>
          <w:kern w:val="24"/>
          <w:sz w:val="24"/>
          <w:szCs w:val="24"/>
        </w:rPr>
        <w:footnoteReference w:id="158"/>
      </w:r>
      <w:r w:rsidR="007824D1">
        <w:rPr>
          <w:rFonts w:ascii="Times New Roman" w:hAnsi="Times New Roman" w:cs="Times New Roman"/>
          <w:kern w:val="24"/>
          <w:sz w:val="24"/>
          <w:szCs w:val="24"/>
        </w:rPr>
        <w:t xml:space="preserve"> </w:t>
      </w:r>
      <w:r w:rsidR="003A1712">
        <w:rPr>
          <w:rFonts w:ascii="Times New Roman" w:hAnsi="Times New Roman" w:cs="Times New Roman"/>
          <w:kern w:val="24"/>
          <w:sz w:val="24"/>
          <w:szCs w:val="24"/>
        </w:rPr>
        <w:t xml:space="preserve">Each system </w:t>
      </w:r>
      <w:r w:rsidR="003778E6">
        <w:rPr>
          <w:rFonts w:ascii="Times New Roman" w:hAnsi="Times New Roman" w:cs="Times New Roman"/>
          <w:kern w:val="24"/>
          <w:sz w:val="24"/>
          <w:szCs w:val="24"/>
        </w:rPr>
        <w:t>provides for: (1) transparency with respect to data practices; (2)</w:t>
      </w:r>
      <w:r w:rsidR="003A1712">
        <w:rPr>
          <w:rFonts w:ascii="Times New Roman" w:hAnsi="Times New Roman" w:cs="Times New Roman"/>
          <w:kern w:val="24"/>
          <w:sz w:val="24"/>
          <w:szCs w:val="24"/>
        </w:rPr>
        <w:t xml:space="preserve"> </w:t>
      </w:r>
      <w:r w:rsidR="003778E6">
        <w:rPr>
          <w:rFonts w:ascii="Times New Roman" w:hAnsi="Times New Roman" w:cs="Times New Roman"/>
          <w:kern w:val="24"/>
          <w:sz w:val="24"/>
          <w:szCs w:val="24"/>
        </w:rPr>
        <w:t>choice/consent; (3)</w:t>
      </w:r>
      <w:r w:rsidR="003A1712">
        <w:rPr>
          <w:rFonts w:ascii="Times New Roman" w:hAnsi="Times New Roman" w:cs="Times New Roman"/>
          <w:kern w:val="24"/>
          <w:sz w:val="24"/>
          <w:szCs w:val="24"/>
        </w:rPr>
        <w:t xml:space="preserve"> </w:t>
      </w:r>
      <w:r w:rsidR="003778E6">
        <w:rPr>
          <w:rFonts w:ascii="Times New Roman" w:hAnsi="Times New Roman" w:cs="Times New Roman"/>
          <w:kern w:val="24"/>
          <w:sz w:val="24"/>
          <w:szCs w:val="24"/>
        </w:rPr>
        <w:t>legitimate bases for processing other than consent; (4) reasonable security safeguards; (5) accuracy; (6) access; (7) correction; (8) purpose l</w:t>
      </w:r>
      <w:r w:rsidR="003A1712">
        <w:rPr>
          <w:rFonts w:ascii="Times New Roman" w:hAnsi="Times New Roman" w:cs="Times New Roman"/>
          <w:kern w:val="24"/>
          <w:sz w:val="24"/>
          <w:szCs w:val="24"/>
        </w:rPr>
        <w:t xml:space="preserve">imitations with respect to the </w:t>
      </w:r>
      <w:r w:rsidR="003778E6">
        <w:rPr>
          <w:rFonts w:ascii="Times New Roman" w:hAnsi="Times New Roman" w:cs="Times New Roman"/>
          <w:kern w:val="24"/>
          <w:sz w:val="24"/>
          <w:szCs w:val="24"/>
        </w:rPr>
        <w:t>use of personal data; and (9)</w:t>
      </w:r>
      <w:r w:rsidR="003A1712">
        <w:rPr>
          <w:rFonts w:ascii="Times New Roman" w:hAnsi="Times New Roman" w:cs="Times New Roman"/>
          <w:kern w:val="24"/>
          <w:sz w:val="24"/>
          <w:szCs w:val="24"/>
        </w:rPr>
        <w:t xml:space="preserve"> </w:t>
      </w:r>
      <w:r w:rsidR="003778E6">
        <w:rPr>
          <w:rFonts w:ascii="Times New Roman" w:hAnsi="Times New Roman" w:cs="Times New Roman"/>
          <w:kern w:val="24"/>
          <w:sz w:val="24"/>
          <w:szCs w:val="24"/>
        </w:rPr>
        <w:t xml:space="preserve">and special protections for sensitive data.  In addition, three out of the four systems provide for: </w:t>
      </w:r>
      <w:r w:rsidR="00CB1C7A">
        <w:rPr>
          <w:rFonts w:ascii="Times New Roman" w:hAnsi="Times New Roman" w:cs="Times New Roman"/>
          <w:kern w:val="24"/>
          <w:sz w:val="24"/>
          <w:szCs w:val="24"/>
        </w:rPr>
        <w:t xml:space="preserve">(10) </w:t>
      </w:r>
      <w:r w:rsidR="003A1712">
        <w:rPr>
          <w:rFonts w:ascii="Times New Roman" w:hAnsi="Times New Roman" w:cs="Times New Roman"/>
          <w:kern w:val="24"/>
          <w:sz w:val="24"/>
          <w:szCs w:val="24"/>
        </w:rPr>
        <w:t>Accountability</w:t>
      </w:r>
      <w:r w:rsidR="00CB1C7A">
        <w:rPr>
          <w:rFonts w:ascii="Times New Roman" w:hAnsi="Times New Roman" w:cs="Times New Roman"/>
          <w:kern w:val="24"/>
          <w:sz w:val="24"/>
          <w:szCs w:val="24"/>
        </w:rPr>
        <w:t>; (11) purpose limits for with respect to the collection of personal data; (12) data minimization; (13) fair and lawful processing; and (14) limits on retention and disposal of personal data.  While Table 2 also shows that these systems also differ in a number of ways, fourteen areas of overlap is a lot of common ground.  Potentially, a</w:t>
      </w:r>
      <w:r w:rsidR="00B67C8A">
        <w:rPr>
          <w:rFonts w:ascii="Times New Roman" w:hAnsi="Times New Roman" w:cs="Times New Roman"/>
          <w:kern w:val="24"/>
          <w:sz w:val="24"/>
          <w:szCs w:val="24"/>
        </w:rPr>
        <w:t xml:space="preserve"> sector could develop a code that addressed each of these requirements in a way acceptable to each of the relevant systems.</w:t>
      </w:r>
      <w:r w:rsidR="00CB1C7A">
        <w:rPr>
          <w:rFonts w:ascii="Times New Roman" w:hAnsi="Times New Roman" w:cs="Times New Roman"/>
          <w:kern w:val="24"/>
          <w:sz w:val="24"/>
          <w:szCs w:val="24"/>
        </w:rPr>
        <w:t xml:space="preserve"> </w:t>
      </w:r>
      <w:r w:rsidR="00E831C3">
        <w:rPr>
          <w:rFonts w:ascii="Times New Roman" w:hAnsi="Times New Roman" w:cs="Times New Roman"/>
          <w:kern w:val="24"/>
          <w:sz w:val="24"/>
          <w:szCs w:val="24"/>
        </w:rPr>
        <w:t xml:space="preserve">Firms that complied with such a </w:t>
      </w:r>
      <w:r w:rsidR="00B67C8A">
        <w:rPr>
          <w:rFonts w:ascii="Times New Roman" w:hAnsi="Times New Roman" w:cs="Times New Roman"/>
          <w:kern w:val="24"/>
          <w:sz w:val="24"/>
          <w:szCs w:val="24"/>
        </w:rPr>
        <w:t xml:space="preserve">code would </w:t>
      </w:r>
      <w:r w:rsidR="00E831C3">
        <w:rPr>
          <w:rFonts w:ascii="Times New Roman" w:hAnsi="Times New Roman" w:cs="Times New Roman"/>
          <w:kern w:val="24"/>
          <w:sz w:val="24"/>
          <w:szCs w:val="24"/>
        </w:rPr>
        <w:t xml:space="preserve">know that they met </w:t>
      </w:r>
      <w:r w:rsidR="00B67C8A">
        <w:rPr>
          <w:rFonts w:ascii="Times New Roman" w:hAnsi="Times New Roman" w:cs="Times New Roman"/>
          <w:kern w:val="24"/>
          <w:sz w:val="24"/>
          <w:szCs w:val="24"/>
        </w:rPr>
        <w:t>the most significant privacy requirements of each system.</w:t>
      </w:r>
    </w:p>
    <w:p w:rsidR="00707A60" w:rsidRDefault="00DD7930"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In order to build in </w:t>
      </w:r>
      <w:r w:rsidRPr="00DD7930">
        <w:rPr>
          <w:rFonts w:ascii="Times New Roman" w:hAnsi="Times New Roman" w:cs="Times New Roman"/>
          <w:i/>
          <w:kern w:val="24"/>
          <w:sz w:val="24"/>
          <w:szCs w:val="24"/>
        </w:rPr>
        <w:t>all</w:t>
      </w:r>
      <w:r>
        <w:rPr>
          <w:rFonts w:ascii="Times New Roman" w:hAnsi="Times New Roman" w:cs="Times New Roman"/>
          <w:kern w:val="24"/>
          <w:sz w:val="24"/>
          <w:szCs w:val="24"/>
        </w:rPr>
        <w:t xml:space="preserve"> the requirements of each system, such a code would need to go beyond the areas of overlap and include elements (e.g. data portability, or the prevention of harm) that are currently present in only one or two of the systems.  To be truly universal, such a comprehensive code would have to incorporate the most stringent requirements from each set of privacy rules. This would lead to a “ratcheting up” for requirements for companies that otherwise would only be subject to one such system, or another.  The increased efficiency to be gained from a single, nearly global set of privacy rules</w:t>
      </w:r>
      <w:r w:rsidR="00707A60">
        <w:rPr>
          <w:rFonts w:ascii="Times New Roman" w:hAnsi="Times New Roman" w:cs="Times New Roman"/>
          <w:kern w:val="24"/>
          <w:sz w:val="24"/>
          <w:szCs w:val="24"/>
        </w:rPr>
        <w:t xml:space="preserve">, as well as any enhanced consumer trust that their commitment to follow a stringent code may bring them, could </w:t>
      </w:r>
      <w:r>
        <w:rPr>
          <w:rFonts w:ascii="Times New Roman" w:hAnsi="Times New Roman" w:cs="Times New Roman"/>
          <w:kern w:val="24"/>
          <w:sz w:val="24"/>
          <w:szCs w:val="24"/>
        </w:rPr>
        <w:t>provide firms with sufficient incentive to take such a step.  The production and implementation of (nearly) global privacy codes could accordingly lead to an increase in privacy protections</w:t>
      </w:r>
      <w:r w:rsidR="00707A60">
        <w:rPr>
          <w:rFonts w:ascii="Times New Roman" w:hAnsi="Times New Roman" w:cs="Times New Roman"/>
          <w:kern w:val="24"/>
          <w:sz w:val="24"/>
          <w:szCs w:val="24"/>
        </w:rPr>
        <w:t xml:space="preserve">. </w:t>
      </w:r>
    </w:p>
    <w:p w:rsidR="002D381C" w:rsidRDefault="008722B4"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It is also important to qualify any conclusions drawn from Table 2, and to recognize what it cannot tell us.  Table 2 lists only broad privacy requirements.  It says nothing about how each system defines and interprets these</w:t>
      </w:r>
      <w:r w:rsidR="001455EE">
        <w:rPr>
          <w:rFonts w:ascii="Times New Roman" w:hAnsi="Times New Roman" w:cs="Times New Roman"/>
          <w:kern w:val="24"/>
          <w:sz w:val="24"/>
          <w:szCs w:val="24"/>
        </w:rPr>
        <w:t xml:space="preserve"> requirement</w:t>
      </w:r>
      <w:r>
        <w:rPr>
          <w:rFonts w:ascii="Times New Roman" w:hAnsi="Times New Roman" w:cs="Times New Roman"/>
          <w:kern w:val="24"/>
          <w:sz w:val="24"/>
          <w:szCs w:val="24"/>
        </w:rPr>
        <w:t>s</w:t>
      </w:r>
      <w:r w:rsidR="001455EE">
        <w:rPr>
          <w:rFonts w:ascii="Times New Roman" w:hAnsi="Times New Roman" w:cs="Times New Roman"/>
          <w:kern w:val="24"/>
          <w:sz w:val="24"/>
          <w:szCs w:val="24"/>
        </w:rPr>
        <w:t>.</w:t>
      </w:r>
      <w:r>
        <w:rPr>
          <w:rFonts w:ascii="Times New Roman" w:hAnsi="Times New Roman" w:cs="Times New Roman"/>
          <w:kern w:val="24"/>
          <w:sz w:val="24"/>
          <w:szCs w:val="24"/>
        </w:rPr>
        <w:t xml:space="preserve"> </w:t>
      </w:r>
      <w:r w:rsidR="001455EE">
        <w:rPr>
          <w:rFonts w:ascii="Times New Roman" w:hAnsi="Times New Roman" w:cs="Times New Roman"/>
          <w:kern w:val="24"/>
          <w:sz w:val="24"/>
          <w:szCs w:val="24"/>
        </w:rPr>
        <w:t xml:space="preserve">For example, </w:t>
      </w:r>
      <w:r w:rsidR="002225D7">
        <w:rPr>
          <w:rFonts w:ascii="Times New Roman" w:hAnsi="Times New Roman" w:cs="Times New Roman"/>
          <w:kern w:val="24"/>
          <w:sz w:val="24"/>
          <w:szCs w:val="24"/>
        </w:rPr>
        <w:t>two systems may each require “consent” to the processing of personal data, thereby making it appear that they are similar.</w:t>
      </w:r>
      <w:r>
        <w:rPr>
          <w:rFonts w:ascii="Times New Roman" w:hAnsi="Times New Roman" w:cs="Times New Roman"/>
          <w:kern w:val="24"/>
          <w:sz w:val="24"/>
          <w:szCs w:val="24"/>
        </w:rPr>
        <w:t xml:space="preserve"> </w:t>
      </w:r>
      <w:r w:rsidR="002225D7">
        <w:rPr>
          <w:rFonts w:ascii="Times New Roman" w:hAnsi="Times New Roman" w:cs="Times New Roman"/>
          <w:kern w:val="24"/>
          <w:sz w:val="24"/>
          <w:szCs w:val="24"/>
        </w:rPr>
        <w:t>But further examination may show that one system allows opt-out consent across the board, while the other requires opt-in consent in certain situations.</w:t>
      </w:r>
      <w:r w:rsidR="002225D7">
        <w:rPr>
          <w:rStyle w:val="FootnoteReference"/>
          <w:rFonts w:ascii="Times New Roman" w:hAnsi="Times New Roman" w:cs="Times New Roman"/>
          <w:kern w:val="24"/>
          <w:sz w:val="24"/>
          <w:szCs w:val="24"/>
        </w:rPr>
        <w:footnoteReference w:id="159"/>
      </w:r>
      <w:r w:rsidR="002225D7">
        <w:rPr>
          <w:rFonts w:ascii="Times New Roman" w:hAnsi="Times New Roman" w:cs="Times New Roman"/>
          <w:kern w:val="24"/>
          <w:sz w:val="24"/>
          <w:szCs w:val="24"/>
        </w:rPr>
        <w:t xml:space="preserve"> A drafter </w:t>
      </w:r>
      <w:r>
        <w:rPr>
          <w:rFonts w:ascii="Times New Roman" w:hAnsi="Times New Roman" w:cs="Times New Roman"/>
          <w:kern w:val="24"/>
          <w:sz w:val="24"/>
          <w:szCs w:val="24"/>
        </w:rPr>
        <w:t xml:space="preserve">seeking to put together cross-border code </w:t>
      </w:r>
      <w:r w:rsidR="002225D7">
        <w:rPr>
          <w:rFonts w:ascii="Times New Roman" w:hAnsi="Times New Roman" w:cs="Times New Roman"/>
          <w:kern w:val="24"/>
          <w:sz w:val="24"/>
          <w:szCs w:val="24"/>
        </w:rPr>
        <w:t xml:space="preserve">would </w:t>
      </w:r>
      <w:r>
        <w:rPr>
          <w:rFonts w:ascii="Times New Roman" w:hAnsi="Times New Roman" w:cs="Times New Roman"/>
          <w:kern w:val="24"/>
          <w:sz w:val="24"/>
          <w:szCs w:val="24"/>
        </w:rPr>
        <w:t xml:space="preserve">accordingly </w:t>
      </w:r>
      <w:r w:rsidR="002225D7">
        <w:rPr>
          <w:rFonts w:ascii="Times New Roman" w:hAnsi="Times New Roman" w:cs="Times New Roman"/>
          <w:kern w:val="24"/>
          <w:sz w:val="24"/>
          <w:szCs w:val="24"/>
        </w:rPr>
        <w:t xml:space="preserve">have to examine </w:t>
      </w:r>
      <w:r>
        <w:rPr>
          <w:rFonts w:ascii="Times New Roman" w:hAnsi="Times New Roman" w:cs="Times New Roman"/>
          <w:kern w:val="24"/>
          <w:sz w:val="24"/>
          <w:szCs w:val="24"/>
        </w:rPr>
        <w:t xml:space="preserve">in detail </w:t>
      </w:r>
      <w:r w:rsidR="002225D7">
        <w:rPr>
          <w:rFonts w:ascii="Times New Roman" w:hAnsi="Times New Roman" w:cs="Times New Roman"/>
          <w:kern w:val="24"/>
          <w:sz w:val="24"/>
          <w:szCs w:val="24"/>
        </w:rPr>
        <w:t xml:space="preserve">the definitions, explanatory statements and regulatory and </w:t>
      </w:r>
      <w:r>
        <w:rPr>
          <w:rFonts w:ascii="Times New Roman" w:hAnsi="Times New Roman" w:cs="Times New Roman"/>
          <w:kern w:val="24"/>
          <w:sz w:val="24"/>
          <w:szCs w:val="24"/>
        </w:rPr>
        <w:t xml:space="preserve">applicable </w:t>
      </w:r>
      <w:r w:rsidR="002225D7">
        <w:rPr>
          <w:rFonts w:ascii="Times New Roman" w:hAnsi="Times New Roman" w:cs="Times New Roman"/>
          <w:kern w:val="24"/>
          <w:sz w:val="24"/>
          <w:szCs w:val="24"/>
        </w:rPr>
        <w:t xml:space="preserve">judicial interpretations in order to compose a requirement that would </w:t>
      </w:r>
      <w:r>
        <w:rPr>
          <w:rFonts w:ascii="Times New Roman" w:hAnsi="Times New Roman" w:cs="Times New Roman"/>
          <w:kern w:val="24"/>
          <w:sz w:val="24"/>
          <w:szCs w:val="24"/>
        </w:rPr>
        <w:t>truly satisfy each of the relevant systems</w:t>
      </w:r>
      <w:r w:rsidR="002225D7">
        <w:rPr>
          <w:rFonts w:ascii="Times New Roman" w:hAnsi="Times New Roman" w:cs="Times New Roman"/>
          <w:kern w:val="24"/>
          <w:sz w:val="24"/>
          <w:szCs w:val="24"/>
        </w:rPr>
        <w:t>.</w:t>
      </w:r>
      <w:r w:rsidR="00233D66">
        <w:rPr>
          <w:rFonts w:ascii="Times New Roman" w:hAnsi="Times New Roman" w:cs="Times New Roman"/>
          <w:kern w:val="24"/>
          <w:sz w:val="24"/>
          <w:szCs w:val="24"/>
        </w:rPr>
        <w:t xml:space="preserve"> While such an analysis is clearly needed in order to determine whether the various privacy rule systems can actually be combined into a single code, it is beyond the scope of this </w:t>
      </w:r>
      <w:r w:rsidR="00161F20" w:rsidRPr="00FD6922">
        <w:rPr>
          <w:rFonts w:ascii="Times New Roman" w:hAnsi="Times New Roman" w:cs="Times New Roman"/>
          <w:kern w:val="24"/>
          <w:sz w:val="24"/>
          <w:szCs w:val="24"/>
        </w:rPr>
        <w:t>article and will require additional research.</w:t>
      </w:r>
      <w:r>
        <w:rPr>
          <w:rFonts w:ascii="Times New Roman" w:hAnsi="Times New Roman" w:cs="Times New Roman"/>
          <w:kern w:val="24"/>
          <w:sz w:val="24"/>
          <w:szCs w:val="24"/>
        </w:rPr>
        <w:t xml:space="preserve"> </w:t>
      </w:r>
      <w:r w:rsidR="00161F20">
        <w:rPr>
          <w:rFonts w:ascii="Times New Roman" w:hAnsi="Times New Roman" w:cs="Times New Roman"/>
          <w:kern w:val="24"/>
          <w:sz w:val="24"/>
          <w:szCs w:val="24"/>
        </w:rPr>
        <w:t xml:space="preserve">Table 2 seeks only to provide a </w:t>
      </w:r>
      <w:r w:rsidR="00161F20" w:rsidRPr="00FD6922">
        <w:rPr>
          <w:rFonts w:ascii="Times New Roman" w:hAnsi="Times New Roman" w:cs="Times New Roman"/>
          <w:kern w:val="24"/>
          <w:sz w:val="24"/>
          <w:szCs w:val="24"/>
        </w:rPr>
        <w:t xml:space="preserve">“first cut” at </w:t>
      </w:r>
      <w:r w:rsidR="00161F20">
        <w:rPr>
          <w:rFonts w:ascii="Times New Roman" w:hAnsi="Times New Roman" w:cs="Times New Roman"/>
          <w:kern w:val="24"/>
          <w:sz w:val="24"/>
          <w:szCs w:val="24"/>
        </w:rPr>
        <w:t xml:space="preserve">the </w:t>
      </w:r>
      <w:r w:rsidR="00161F20" w:rsidRPr="00FD6922">
        <w:rPr>
          <w:rFonts w:ascii="Times New Roman" w:hAnsi="Times New Roman" w:cs="Times New Roman"/>
          <w:kern w:val="24"/>
          <w:sz w:val="24"/>
          <w:szCs w:val="24"/>
        </w:rPr>
        <w:t xml:space="preserve">analysis </w:t>
      </w:r>
      <w:r w:rsidR="00161F20">
        <w:rPr>
          <w:rFonts w:ascii="Times New Roman" w:hAnsi="Times New Roman" w:cs="Times New Roman"/>
          <w:kern w:val="24"/>
          <w:sz w:val="24"/>
          <w:szCs w:val="24"/>
        </w:rPr>
        <w:t xml:space="preserve">by determining whether the </w:t>
      </w:r>
      <w:r w:rsidR="00161F20" w:rsidRPr="00FD6922">
        <w:rPr>
          <w:rFonts w:ascii="Times New Roman" w:hAnsi="Times New Roman" w:cs="Times New Roman"/>
          <w:kern w:val="24"/>
          <w:sz w:val="24"/>
          <w:szCs w:val="24"/>
        </w:rPr>
        <w:t xml:space="preserve">broad frameworks </w:t>
      </w:r>
      <w:r w:rsidR="00161F20" w:rsidRPr="00FD6922">
        <w:rPr>
          <w:rFonts w:ascii="Times New Roman" w:hAnsi="Times New Roman" w:cs="Times New Roman"/>
          <w:kern w:val="24"/>
          <w:sz w:val="24"/>
          <w:szCs w:val="24"/>
        </w:rPr>
        <w:lastRenderedPageBreak/>
        <w:t>match up</w:t>
      </w:r>
      <w:r w:rsidR="00233D66">
        <w:rPr>
          <w:rFonts w:ascii="Times New Roman" w:hAnsi="Times New Roman" w:cs="Times New Roman"/>
          <w:kern w:val="24"/>
          <w:sz w:val="24"/>
          <w:szCs w:val="24"/>
        </w:rPr>
        <w:t>.</w:t>
      </w:r>
      <w:r>
        <w:rPr>
          <w:rFonts w:ascii="Times New Roman" w:hAnsi="Times New Roman" w:cs="Times New Roman"/>
          <w:kern w:val="24"/>
          <w:sz w:val="24"/>
          <w:szCs w:val="24"/>
        </w:rPr>
        <w:t xml:space="preserve">  It shows that, </w:t>
      </w:r>
      <w:r w:rsidR="00233D66">
        <w:rPr>
          <w:rFonts w:ascii="Times New Roman" w:hAnsi="Times New Roman" w:cs="Times New Roman"/>
          <w:kern w:val="24"/>
          <w:sz w:val="24"/>
          <w:szCs w:val="24"/>
        </w:rPr>
        <w:t>with respect to the most important privacy requirements</w:t>
      </w:r>
      <w:r>
        <w:rPr>
          <w:rFonts w:ascii="Times New Roman" w:hAnsi="Times New Roman" w:cs="Times New Roman"/>
          <w:kern w:val="24"/>
          <w:sz w:val="24"/>
          <w:szCs w:val="24"/>
        </w:rPr>
        <w:t xml:space="preserve">, they do. </w:t>
      </w:r>
      <w:r w:rsidR="00B26910">
        <w:rPr>
          <w:rFonts w:ascii="Times New Roman" w:hAnsi="Times New Roman" w:cs="Times New Roman"/>
          <w:kern w:val="24"/>
          <w:sz w:val="24"/>
          <w:szCs w:val="24"/>
        </w:rPr>
        <w:t>On the levels of both process and substance</w:t>
      </w:r>
      <w:r w:rsidR="00233D66">
        <w:rPr>
          <w:rFonts w:ascii="Times New Roman" w:hAnsi="Times New Roman" w:cs="Times New Roman"/>
          <w:kern w:val="24"/>
          <w:sz w:val="24"/>
          <w:szCs w:val="24"/>
        </w:rPr>
        <w:t>,</w:t>
      </w:r>
      <w:r w:rsidR="00B26910">
        <w:rPr>
          <w:rFonts w:ascii="Times New Roman" w:hAnsi="Times New Roman" w:cs="Times New Roman"/>
          <w:kern w:val="24"/>
          <w:sz w:val="24"/>
          <w:szCs w:val="24"/>
        </w:rPr>
        <w:t xml:space="preserve"> the conditions are sufficiently favorable to warrant further exploration of this approach.</w:t>
      </w:r>
    </w:p>
    <w:p w:rsidR="00007C5C" w:rsidRPr="003A5301" w:rsidRDefault="00007C5C" w:rsidP="001610E3">
      <w:pPr>
        <w:autoSpaceDE w:val="0"/>
        <w:autoSpaceDN w:val="0"/>
        <w:adjustRightInd w:val="0"/>
        <w:spacing w:after="0" w:line="480" w:lineRule="auto"/>
        <w:ind w:firstLine="720"/>
        <w:rPr>
          <w:rFonts w:ascii="Times New Roman" w:hAnsi="Times New Roman" w:cs="Times New Roman"/>
          <w:kern w:val="24"/>
          <w:sz w:val="24"/>
          <w:szCs w:val="24"/>
        </w:rPr>
      </w:pPr>
    </w:p>
    <w:p w:rsidR="00007C5C" w:rsidRPr="00BC5FAB" w:rsidRDefault="00007C5C" w:rsidP="00BC5FAB">
      <w:pPr>
        <w:pStyle w:val="ListParagraph"/>
        <w:numPr>
          <w:ilvl w:val="0"/>
          <w:numId w:val="14"/>
        </w:numPr>
        <w:autoSpaceDE w:val="0"/>
        <w:autoSpaceDN w:val="0"/>
        <w:adjustRightInd w:val="0"/>
        <w:spacing w:after="0" w:line="480" w:lineRule="auto"/>
        <w:rPr>
          <w:rFonts w:ascii="Times New Roman" w:hAnsi="Times New Roman" w:cs="Times New Roman"/>
          <w:kern w:val="24"/>
          <w:sz w:val="24"/>
          <w:szCs w:val="24"/>
          <w:u w:val="single"/>
        </w:rPr>
      </w:pPr>
      <w:r w:rsidRPr="00007C5C">
        <w:rPr>
          <w:rFonts w:ascii="Times New Roman" w:hAnsi="Times New Roman" w:cs="Times New Roman"/>
          <w:kern w:val="24"/>
          <w:sz w:val="24"/>
          <w:szCs w:val="24"/>
          <w:u w:val="single"/>
        </w:rPr>
        <w:t>Multi-Stakeholder C</w:t>
      </w:r>
      <w:r w:rsidR="0026527A" w:rsidRPr="00007C5C">
        <w:rPr>
          <w:rFonts w:ascii="Times New Roman" w:hAnsi="Times New Roman" w:cs="Times New Roman"/>
          <w:kern w:val="24"/>
          <w:sz w:val="24"/>
          <w:szCs w:val="24"/>
          <w:u w:val="single"/>
        </w:rPr>
        <w:t>od</w:t>
      </w:r>
      <w:r w:rsidRPr="00007C5C">
        <w:rPr>
          <w:rFonts w:ascii="Times New Roman" w:hAnsi="Times New Roman" w:cs="Times New Roman"/>
          <w:kern w:val="24"/>
          <w:sz w:val="24"/>
          <w:szCs w:val="24"/>
          <w:u w:val="single"/>
        </w:rPr>
        <w:t>es of Conduct: the White House A</w:t>
      </w:r>
      <w:r w:rsidR="0026527A" w:rsidRPr="00007C5C">
        <w:rPr>
          <w:rFonts w:ascii="Times New Roman" w:hAnsi="Times New Roman" w:cs="Times New Roman"/>
          <w:kern w:val="24"/>
          <w:sz w:val="24"/>
          <w:szCs w:val="24"/>
          <w:u w:val="single"/>
        </w:rPr>
        <w:t>pproach</w:t>
      </w:r>
    </w:p>
    <w:p w:rsidR="00121191" w:rsidRDefault="003F0F86"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In its 2012 report, </w:t>
      </w:r>
      <w:r>
        <w:rPr>
          <w:rFonts w:ascii="Times New Roman" w:hAnsi="Times New Roman" w:cs="Times New Roman"/>
          <w:i/>
          <w:kern w:val="24"/>
          <w:sz w:val="24"/>
          <w:szCs w:val="24"/>
        </w:rPr>
        <w:t>Consumer Data Privacy in a Networked</w:t>
      </w:r>
      <w:r w:rsidRPr="003F0F86">
        <w:rPr>
          <w:rFonts w:ascii="Times New Roman" w:hAnsi="Times New Roman" w:cs="Times New Roman"/>
          <w:i/>
          <w:kern w:val="24"/>
          <w:sz w:val="24"/>
          <w:szCs w:val="24"/>
        </w:rPr>
        <w:t xml:space="preserve"> World</w:t>
      </w:r>
      <w:r>
        <w:rPr>
          <w:rFonts w:ascii="Times New Roman" w:hAnsi="Times New Roman" w:cs="Times New Roman"/>
          <w:kern w:val="24"/>
          <w:sz w:val="24"/>
          <w:szCs w:val="24"/>
        </w:rPr>
        <w:t xml:space="preserve">, the White House </w:t>
      </w:r>
      <w:r w:rsidR="003C054D">
        <w:rPr>
          <w:rFonts w:ascii="Times New Roman" w:hAnsi="Times New Roman" w:cs="Times New Roman"/>
          <w:kern w:val="24"/>
          <w:sz w:val="24"/>
          <w:szCs w:val="24"/>
        </w:rPr>
        <w:t xml:space="preserve">expressed its enthusiasm for </w:t>
      </w:r>
      <w:r>
        <w:rPr>
          <w:rFonts w:ascii="Times New Roman" w:hAnsi="Times New Roman" w:cs="Times New Roman"/>
          <w:kern w:val="24"/>
          <w:sz w:val="24"/>
          <w:szCs w:val="24"/>
        </w:rPr>
        <w:t>enforceable</w:t>
      </w:r>
      <w:r w:rsidR="003C054D">
        <w:rPr>
          <w:rFonts w:ascii="Times New Roman" w:hAnsi="Times New Roman" w:cs="Times New Roman"/>
          <w:kern w:val="24"/>
          <w:sz w:val="24"/>
          <w:szCs w:val="24"/>
        </w:rPr>
        <w:t xml:space="preserve">, </w:t>
      </w:r>
      <w:r>
        <w:rPr>
          <w:rFonts w:ascii="Times New Roman" w:hAnsi="Times New Roman" w:cs="Times New Roman"/>
          <w:kern w:val="24"/>
          <w:sz w:val="24"/>
          <w:szCs w:val="24"/>
        </w:rPr>
        <w:t>privacy codes of conduct</w:t>
      </w:r>
      <w:r w:rsidR="003C054D">
        <w:rPr>
          <w:rFonts w:ascii="Times New Roman" w:hAnsi="Times New Roman" w:cs="Times New Roman"/>
          <w:kern w:val="24"/>
          <w:sz w:val="24"/>
          <w:szCs w:val="24"/>
        </w:rPr>
        <w:t>.</w:t>
      </w:r>
      <w:r w:rsidR="00135A76">
        <w:rPr>
          <w:rStyle w:val="FootnoteReference"/>
          <w:rFonts w:ascii="Times New Roman" w:hAnsi="Times New Roman" w:cs="Times New Roman"/>
          <w:kern w:val="24"/>
          <w:sz w:val="24"/>
          <w:szCs w:val="24"/>
        </w:rPr>
        <w:footnoteReference w:id="160"/>
      </w:r>
      <w:r w:rsidR="003C054D">
        <w:rPr>
          <w:rFonts w:ascii="Times New Roman" w:hAnsi="Times New Roman" w:cs="Times New Roman"/>
          <w:kern w:val="24"/>
          <w:sz w:val="24"/>
          <w:szCs w:val="24"/>
        </w:rPr>
        <w:t xml:space="preserve">  It called for legislation that would establish a Consumer Privacy Bill of Rights,</w:t>
      </w:r>
      <w:r w:rsidR="00135A76">
        <w:rPr>
          <w:rStyle w:val="FootnoteReference"/>
          <w:rFonts w:ascii="Times New Roman" w:hAnsi="Times New Roman" w:cs="Times New Roman"/>
          <w:kern w:val="24"/>
          <w:sz w:val="24"/>
          <w:szCs w:val="24"/>
        </w:rPr>
        <w:footnoteReference w:id="161"/>
      </w:r>
      <w:r w:rsidR="003C054D">
        <w:rPr>
          <w:rFonts w:ascii="Times New Roman" w:hAnsi="Times New Roman" w:cs="Times New Roman"/>
          <w:kern w:val="24"/>
          <w:sz w:val="24"/>
          <w:szCs w:val="24"/>
        </w:rPr>
        <w:t xml:space="preserve"> </w:t>
      </w:r>
      <w:r w:rsidR="00121191">
        <w:rPr>
          <w:rFonts w:ascii="Times New Roman" w:hAnsi="Times New Roman" w:cs="Times New Roman"/>
          <w:kern w:val="24"/>
          <w:sz w:val="24"/>
          <w:szCs w:val="24"/>
        </w:rPr>
        <w:t>allow private groups</w:t>
      </w:r>
      <w:r w:rsidR="00AD3C61">
        <w:rPr>
          <w:rFonts w:ascii="Times New Roman" w:hAnsi="Times New Roman" w:cs="Times New Roman"/>
          <w:kern w:val="24"/>
          <w:sz w:val="24"/>
          <w:szCs w:val="24"/>
        </w:rPr>
        <w:t xml:space="preserve"> </w:t>
      </w:r>
      <w:r w:rsidR="003C054D">
        <w:rPr>
          <w:rFonts w:ascii="Times New Roman" w:hAnsi="Times New Roman" w:cs="Times New Roman"/>
          <w:kern w:val="24"/>
          <w:sz w:val="24"/>
          <w:szCs w:val="24"/>
        </w:rPr>
        <w:t>to implement them through a code of conduct,</w:t>
      </w:r>
      <w:r w:rsidR="00135A76">
        <w:rPr>
          <w:rStyle w:val="FootnoteReference"/>
          <w:rFonts w:ascii="Times New Roman" w:hAnsi="Times New Roman" w:cs="Times New Roman"/>
          <w:kern w:val="24"/>
          <w:sz w:val="24"/>
          <w:szCs w:val="24"/>
        </w:rPr>
        <w:footnoteReference w:id="162"/>
      </w:r>
      <w:r w:rsidR="003C054D">
        <w:rPr>
          <w:rFonts w:ascii="Times New Roman" w:hAnsi="Times New Roman" w:cs="Times New Roman"/>
          <w:kern w:val="24"/>
          <w:sz w:val="24"/>
          <w:szCs w:val="24"/>
        </w:rPr>
        <w:t xml:space="preserve"> and create a legal safe harbor where FTC approves such codes.</w:t>
      </w:r>
      <w:r w:rsidR="00135A76">
        <w:rPr>
          <w:rStyle w:val="FootnoteReference"/>
          <w:rFonts w:ascii="Times New Roman" w:hAnsi="Times New Roman" w:cs="Times New Roman"/>
          <w:kern w:val="24"/>
          <w:sz w:val="24"/>
          <w:szCs w:val="24"/>
        </w:rPr>
        <w:footnoteReference w:id="163"/>
      </w:r>
      <w:r w:rsidR="00007C5C">
        <w:rPr>
          <w:rFonts w:ascii="Times New Roman" w:hAnsi="Times New Roman" w:cs="Times New Roman"/>
          <w:kern w:val="24"/>
          <w:sz w:val="24"/>
          <w:szCs w:val="24"/>
        </w:rPr>
        <w:t xml:space="preserve"> </w:t>
      </w:r>
      <w:r w:rsidR="00A56A31">
        <w:rPr>
          <w:rFonts w:ascii="Times New Roman" w:hAnsi="Times New Roman" w:cs="Times New Roman"/>
          <w:kern w:val="24"/>
          <w:sz w:val="24"/>
          <w:szCs w:val="24"/>
        </w:rPr>
        <w:t xml:space="preserve"> </w:t>
      </w:r>
      <w:r w:rsidR="00121191">
        <w:rPr>
          <w:rFonts w:ascii="Times New Roman" w:hAnsi="Times New Roman" w:cs="Times New Roman"/>
          <w:kern w:val="24"/>
          <w:sz w:val="24"/>
          <w:szCs w:val="24"/>
        </w:rPr>
        <w:t>The White House expressed its intention to include “international stakeholders” in the discussions about particular codes of conduct so that the codes could come to reflect a “transatlantic consensus on important, emerging privacy issues.”</w:t>
      </w:r>
      <w:r w:rsidR="00121191" w:rsidRPr="006C2CB2">
        <w:rPr>
          <w:rStyle w:val="FootnoteReference"/>
          <w:rFonts w:ascii="Times New Roman" w:hAnsi="Times New Roman" w:cs="Times New Roman"/>
          <w:kern w:val="24"/>
          <w:sz w:val="24"/>
          <w:szCs w:val="24"/>
        </w:rPr>
        <w:t xml:space="preserve"> </w:t>
      </w:r>
      <w:r w:rsidR="00121191">
        <w:rPr>
          <w:rStyle w:val="FootnoteReference"/>
          <w:rFonts w:ascii="Times New Roman" w:hAnsi="Times New Roman" w:cs="Times New Roman"/>
          <w:kern w:val="24"/>
          <w:sz w:val="24"/>
          <w:szCs w:val="24"/>
        </w:rPr>
        <w:footnoteReference w:id="164"/>
      </w:r>
      <w:r w:rsidR="00121191">
        <w:rPr>
          <w:rFonts w:ascii="Times New Roman" w:hAnsi="Times New Roman" w:cs="Times New Roman"/>
          <w:kern w:val="24"/>
          <w:sz w:val="24"/>
          <w:szCs w:val="24"/>
        </w:rPr>
        <w:t xml:space="preserve"> It disclosed “plans to develop additional mechanisms—such as jointly developed codes of conduct—that support mutual recognition of legal regimes.”</w:t>
      </w:r>
      <w:r w:rsidR="00121191" w:rsidRPr="00035399">
        <w:rPr>
          <w:rStyle w:val="FootnoteReference"/>
          <w:rFonts w:ascii="Times New Roman" w:hAnsi="Times New Roman" w:cs="Times New Roman"/>
          <w:kern w:val="24"/>
          <w:sz w:val="24"/>
          <w:szCs w:val="24"/>
        </w:rPr>
        <w:t xml:space="preserve"> </w:t>
      </w:r>
      <w:r w:rsidR="00121191">
        <w:rPr>
          <w:rStyle w:val="FootnoteReference"/>
          <w:rFonts w:ascii="Times New Roman" w:hAnsi="Times New Roman" w:cs="Times New Roman"/>
          <w:kern w:val="24"/>
          <w:sz w:val="24"/>
          <w:szCs w:val="24"/>
        </w:rPr>
        <w:footnoteReference w:id="165"/>
      </w:r>
    </w:p>
    <w:p w:rsidR="00DE1190" w:rsidRDefault="00121191"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On one level, these White House pronouncements parallel and reinforce </w:t>
      </w:r>
      <w:r w:rsidR="00AD3C61">
        <w:rPr>
          <w:rFonts w:ascii="Times New Roman" w:hAnsi="Times New Roman" w:cs="Times New Roman"/>
          <w:kern w:val="24"/>
          <w:sz w:val="24"/>
          <w:szCs w:val="24"/>
        </w:rPr>
        <w:t>many</w:t>
      </w:r>
      <w:r>
        <w:rPr>
          <w:rFonts w:ascii="Times New Roman" w:hAnsi="Times New Roman" w:cs="Times New Roman"/>
          <w:kern w:val="24"/>
          <w:sz w:val="24"/>
          <w:szCs w:val="24"/>
        </w:rPr>
        <w:t xml:space="preserve"> of this article’s key positions.  The repo</w:t>
      </w:r>
      <w:r w:rsidR="0073780E">
        <w:rPr>
          <w:rFonts w:ascii="Times New Roman" w:hAnsi="Times New Roman" w:cs="Times New Roman"/>
          <w:kern w:val="24"/>
          <w:sz w:val="24"/>
          <w:szCs w:val="24"/>
        </w:rPr>
        <w:t>rt envisions group-based codes—</w:t>
      </w:r>
      <w:r w:rsidR="00096F9F">
        <w:rPr>
          <w:rFonts w:ascii="Times New Roman" w:hAnsi="Times New Roman" w:cs="Times New Roman"/>
          <w:kern w:val="24"/>
          <w:sz w:val="24"/>
          <w:szCs w:val="24"/>
        </w:rPr>
        <w:t xml:space="preserve">perhaps even </w:t>
      </w:r>
      <w:r w:rsidR="0073780E">
        <w:rPr>
          <w:rFonts w:ascii="Times New Roman" w:hAnsi="Times New Roman" w:cs="Times New Roman"/>
          <w:kern w:val="24"/>
          <w:sz w:val="24"/>
          <w:szCs w:val="24"/>
        </w:rPr>
        <w:t>sector-based codes—</w:t>
      </w:r>
      <w:r>
        <w:rPr>
          <w:rFonts w:ascii="Times New Roman" w:hAnsi="Times New Roman" w:cs="Times New Roman"/>
          <w:kern w:val="24"/>
          <w:sz w:val="24"/>
          <w:szCs w:val="24"/>
        </w:rPr>
        <w:t xml:space="preserve">rather than individual company codes. </w:t>
      </w:r>
      <w:r w:rsidR="00204D72">
        <w:rPr>
          <w:rFonts w:ascii="Times New Roman" w:hAnsi="Times New Roman" w:cs="Times New Roman"/>
          <w:kern w:val="24"/>
          <w:sz w:val="24"/>
          <w:szCs w:val="24"/>
        </w:rPr>
        <w:t>It</w:t>
      </w:r>
      <w:r>
        <w:rPr>
          <w:rFonts w:ascii="Times New Roman" w:hAnsi="Times New Roman" w:cs="Times New Roman"/>
          <w:kern w:val="24"/>
          <w:sz w:val="24"/>
          <w:szCs w:val="24"/>
        </w:rPr>
        <w:t xml:space="preserve"> </w:t>
      </w:r>
      <w:r w:rsidR="00096F9F">
        <w:rPr>
          <w:rFonts w:ascii="Times New Roman" w:hAnsi="Times New Roman" w:cs="Times New Roman"/>
          <w:kern w:val="24"/>
          <w:sz w:val="24"/>
          <w:szCs w:val="24"/>
        </w:rPr>
        <w:t xml:space="preserve">envisions using </w:t>
      </w:r>
      <w:r>
        <w:rPr>
          <w:rFonts w:ascii="Times New Roman" w:hAnsi="Times New Roman" w:cs="Times New Roman"/>
          <w:kern w:val="24"/>
          <w:sz w:val="24"/>
          <w:szCs w:val="24"/>
        </w:rPr>
        <w:t xml:space="preserve">codes of conduct to </w:t>
      </w:r>
      <w:r>
        <w:rPr>
          <w:rFonts w:ascii="Times New Roman" w:hAnsi="Times New Roman" w:cs="Times New Roman"/>
          <w:kern w:val="24"/>
          <w:sz w:val="24"/>
          <w:szCs w:val="24"/>
        </w:rPr>
        <w:br/>
        <w:t>“support mutual recognition of legal regimes</w:t>
      </w:r>
      <w:r w:rsidR="00204D72">
        <w:rPr>
          <w:rFonts w:ascii="Times New Roman" w:hAnsi="Times New Roman" w:cs="Times New Roman"/>
          <w:kern w:val="24"/>
          <w:sz w:val="24"/>
          <w:szCs w:val="24"/>
        </w:rPr>
        <w:t>.</w:t>
      </w:r>
      <w:r>
        <w:rPr>
          <w:rFonts w:ascii="Times New Roman" w:hAnsi="Times New Roman" w:cs="Times New Roman"/>
          <w:kern w:val="24"/>
          <w:sz w:val="24"/>
          <w:szCs w:val="24"/>
        </w:rPr>
        <w:t xml:space="preserve">” </w:t>
      </w:r>
      <w:r w:rsidR="00204D72">
        <w:rPr>
          <w:rFonts w:ascii="Times New Roman" w:hAnsi="Times New Roman" w:cs="Times New Roman"/>
          <w:kern w:val="24"/>
          <w:sz w:val="24"/>
          <w:szCs w:val="24"/>
        </w:rPr>
        <w:t xml:space="preserve">While this </w:t>
      </w:r>
      <w:r w:rsidR="0073780E">
        <w:rPr>
          <w:rFonts w:ascii="Times New Roman" w:hAnsi="Times New Roman" w:cs="Times New Roman"/>
          <w:kern w:val="24"/>
          <w:sz w:val="24"/>
          <w:szCs w:val="24"/>
        </w:rPr>
        <w:t xml:space="preserve">latter </w:t>
      </w:r>
      <w:r w:rsidR="00204D72">
        <w:rPr>
          <w:rFonts w:ascii="Times New Roman" w:hAnsi="Times New Roman" w:cs="Times New Roman"/>
          <w:kern w:val="24"/>
          <w:sz w:val="24"/>
          <w:szCs w:val="24"/>
        </w:rPr>
        <w:t xml:space="preserve">statement </w:t>
      </w:r>
      <w:r>
        <w:rPr>
          <w:rFonts w:ascii="Times New Roman" w:hAnsi="Times New Roman" w:cs="Times New Roman"/>
          <w:kern w:val="24"/>
          <w:sz w:val="24"/>
          <w:szCs w:val="24"/>
        </w:rPr>
        <w:t xml:space="preserve">may be vague and undeveloped, it nonetheless shows support for and an interest in using codes in this way.  </w:t>
      </w:r>
      <w:r w:rsidR="00213D46">
        <w:rPr>
          <w:rFonts w:ascii="Times New Roman" w:hAnsi="Times New Roman" w:cs="Times New Roman"/>
          <w:kern w:val="24"/>
          <w:sz w:val="24"/>
          <w:szCs w:val="24"/>
        </w:rPr>
        <w:t xml:space="preserve">Read in light of the White House report, this article’s thesis begins to seem </w:t>
      </w:r>
      <w:r w:rsidR="00204D72">
        <w:rPr>
          <w:rFonts w:ascii="Times New Roman" w:hAnsi="Times New Roman" w:cs="Times New Roman"/>
          <w:kern w:val="24"/>
          <w:sz w:val="24"/>
          <w:szCs w:val="24"/>
        </w:rPr>
        <w:t xml:space="preserve">quite </w:t>
      </w:r>
      <w:r w:rsidR="00213D46">
        <w:rPr>
          <w:rFonts w:ascii="Times New Roman" w:hAnsi="Times New Roman" w:cs="Times New Roman"/>
          <w:kern w:val="24"/>
          <w:sz w:val="24"/>
          <w:szCs w:val="24"/>
        </w:rPr>
        <w:t>realistic.</w:t>
      </w:r>
    </w:p>
    <w:p w:rsidR="00DE1190" w:rsidRDefault="00DE1190" w:rsidP="001610E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kern w:val="24"/>
          <w:sz w:val="24"/>
          <w:szCs w:val="24"/>
        </w:rPr>
        <w:lastRenderedPageBreak/>
        <w:t xml:space="preserve">The White House report also goes beyond this article’s analysis in ways that </w:t>
      </w:r>
      <w:proofErr w:type="gramStart"/>
      <w:r>
        <w:rPr>
          <w:rFonts w:ascii="Times New Roman" w:hAnsi="Times New Roman" w:cs="Times New Roman"/>
          <w:kern w:val="24"/>
          <w:sz w:val="24"/>
          <w:szCs w:val="24"/>
        </w:rPr>
        <w:t>raise</w:t>
      </w:r>
      <w:proofErr w:type="gramEnd"/>
      <w:r>
        <w:rPr>
          <w:rFonts w:ascii="Times New Roman" w:hAnsi="Times New Roman" w:cs="Times New Roman"/>
          <w:kern w:val="24"/>
          <w:sz w:val="24"/>
          <w:szCs w:val="24"/>
        </w:rPr>
        <w:t xml:space="preserve"> interesting questions about how best to implement the code negotiation process.  The report calls for “multi-stakeholder groups” to develop the codes, and states that such groups will consist of “individual companies, industry groups, privacy advocates, consumer groups, crime victims, academics, international partners, State Attorneys General, Federal civil and criminal law enforcement representatives, and other relevant groups.”</w:t>
      </w:r>
      <w:r>
        <w:rPr>
          <w:rStyle w:val="FootnoteReference"/>
          <w:rFonts w:ascii="Times New Roman" w:hAnsi="Times New Roman" w:cs="Times New Roman"/>
          <w:kern w:val="24"/>
          <w:sz w:val="24"/>
          <w:szCs w:val="24"/>
        </w:rPr>
        <w:footnoteReference w:id="166"/>
      </w:r>
      <w:r>
        <w:rPr>
          <w:rFonts w:ascii="Times New Roman" w:hAnsi="Times New Roman" w:cs="Times New Roman"/>
          <w:kern w:val="24"/>
          <w:sz w:val="24"/>
          <w:szCs w:val="24"/>
        </w:rPr>
        <w:t xml:space="preserve">  These groups must reach “consensus” on the code before companies can adopt it.</w:t>
      </w:r>
      <w:r>
        <w:rPr>
          <w:rStyle w:val="FootnoteReference"/>
          <w:rFonts w:ascii="Times New Roman" w:hAnsi="Times New Roman" w:cs="Times New Roman"/>
          <w:kern w:val="24"/>
          <w:sz w:val="24"/>
          <w:szCs w:val="24"/>
        </w:rPr>
        <w:footnoteReference w:id="167"/>
      </w:r>
      <w:r>
        <w:rPr>
          <w:rFonts w:ascii="Times New Roman" w:hAnsi="Times New Roman" w:cs="Times New Roman"/>
          <w:kern w:val="24"/>
          <w:sz w:val="24"/>
          <w:szCs w:val="24"/>
        </w:rPr>
        <w:t xml:space="preserve"> Clearly, stakeholders must be involved in the code negotiation process.  But is such a large group workable? This is a far greater array of parties than negotiate the Dutch codes or the APEC Cross-Border Privacy Rules.  The size and complexity of such groups raise questions about transaction costs and the ability to reach consensus on broad and meaningful requirements.  Pursuant to the White House agenda, </w:t>
      </w:r>
      <w:r>
        <w:rPr>
          <w:rFonts w:ascii="Times New Roman" w:hAnsi="Times New Roman" w:cs="Times New Roman"/>
          <w:sz w:val="24"/>
          <w:szCs w:val="24"/>
        </w:rPr>
        <w:t>t</w:t>
      </w:r>
      <w:r w:rsidRPr="00213D46">
        <w:rPr>
          <w:rFonts w:ascii="Times New Roman" w:hAnsi="Times New Roman" w:cs="Times New Roman"/>
          <w:sz w:val="24"/>
          <w:szCs w:val="24"/>
        </w:rPr>
        <w:t>he National Telecommunic</w:t>
      </w:r>
      <w:r w:rsidR="00F33535">
        <w:rPr>
          <w:rFonts w:ascii="Times New Roman" w:hAnsi="Times New Roman" w:cs="Times New Roman"/>
          <w:sz w:val="24"/>
          <w:szCs w:val="24"/>
        </w:rPr>
        <w:t>ations and Information Administration</w:t>
      </w:r>
      <w:r w:rsidRPr="00213D46">
        <w:rPr>
          <w:rFonts w:ascii="Times New Roman" w:hAnsi="Times New Roman" w:cs="Times New Roman"/>
          <w:sz w:val="24"/>
          <w:szCs w:val="24"/>
        </w:rPr>
        <w:t xml:space="preserve"> </w:t>
      </w:r>
      <w:proofErr w:type="gramStart"/>
      <w:r w:rsidRPr="00213D46">
        <w:rPr>
          <w:rFonts w:ascii="Times New Roman" w:hAnsi="Times New Roman" w:cs="Times New Roman"/>
          <w:sz w:val="24"/>
          <w:szCs w:val="24"/>
        </w:rPr>
        <w:t>has</w:t>
      </w:r>
      <w:proofErr w:type="gramEnd"/>
      <w:r w:rsidRPr="00213D46">
        <w:rPr>
          <w:rFonts w:ascii="Times New Roman" w:hAnsi="Times New Roman" w:cs="Times New Roman"/>
          <w:sz w:val="24"/>
          <w:szCs w:val="24"/>
        </w:rPr>
        <w:t xml:space="preserve">, for the past year, been facilitating a multi-stakeholder process </w:t>
      </w:r>
      <w:r>
        <w:rPr>
          <w:rFonts w:ascii="Times New Roman" w:hAnsi="Times New Roman" w:cs="Times New Roman"/>
          <w:sz w:val="24"/>
          <w:szCs w:val="24"/>
        </w:rPr>
        <w:t xml:space="preserve">of this type </w:t>
      </w:r>
      <w:r w:rsidRPr="00213D46">
        <w:rPr>
          <w:rFonts w:ascii="Times New Roman" w:hAnsi="Times New Roman" w:cs="Times New Roman"/>
          <w:sz w:val="24"/>
          <w:szCs w:val="24"/>
        </w:rPr>
        <w:t>to develop a code of conduct on Mobile App Transparency</w:t>
      </w:r>
      <w:r>
        <w:rPr>
          <w:rFonts w:ascii="Times New Roman" w:hAnsi="Times New Roman" w:cs="Times New Roman"/>
          <w:sz w:val="24"/>
          <w:szCs w:val="24"/>
        </w:rPr>
        <w:t>.</w:t>
      </w:r>
      <w:r w:rsidR="00B5697E">
        <w:rPr>
          <w:rStyle w:val="FootnoteReference"/>
          <w:rFonts w:ascii="Times New Roman" w:hAnsi="Times New Roman" w:cs="Times New Roman"/>
          <w:sz w:val="24"/>
          <w:szCs w:val="24"/>
        </w:rPr>
        <w:footnoteReference w:id="168"/>
      </w:r>
      <w:r>
        <w:rPr>
          <w:rFonts w:ascii="Times New Roman" w:hAnsi="Times New Roman" w:cs="Times New Roman"/>
          <w:sz w:val="24"/>
          <w:szCs w:val="24"/>
        </w:rPr>
        <w:t xml:space="preserve"> The process, which began with over 200 representatives present at the initial negotiation, has made important progress.  However, it remains to be seen whether it can produce a meaningful code with a substantial number of adoptees.</w:t>
      </w:r>
    </w:p>
    <w:p w:rsidR="00BD2382" w:rsidRDefault="00DE1190"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sz w:val="24"/>
          <w:szCs w:val="24"/>
        </w:rPr>
        <w:t xml:space="preserve">Another difference is the White House’s intention to </w:t>
      </w:r>
      <w:r w:rsidR="0073780E">
        <w:rPr>
          <w:rFonts w:ascii="Times New Roman" w:hAnsi="Times New Roman" w:cs="Times New Roman"/>
          <w:kern w:val="24"/>
          <w:sz w:val="24"/>
          <w:szCs w:val="24"/>
        </w:rPr>
        <w:t xml:space="preserve">proceed with multi-stakeholder codes of conduct </w:t>
      </w:r>
      <w:r w:rsidR="0073780E" w:rsidRPr="00DE1190">
        <w:rPr>
          <w:rFonts w:ascii="Times New Roman" w:hAnsi="Times New Roman" w:cs="Times New Roman"/>
          <w:i/>
          <w:kern w:val="24"/>
          <w:sz w:val="24"/>
          <w:szCs w:val="24"/>
        </w:rPr>
        <w:t>even in the absence</w:t>
      </w:r>
      <w:r w:rsidR="0073780E">
        <w:rPr>
          <w:rFonts w:ascii="Times New Roman" w:hAnsi="Times New Roman" w:cs="Times New Roman"/>
          <w:kern w:val="24"/>
          <w:sz w:val="24"/>
          <w:szCs w:val="24"/>
        </w:rPr>
        <w:t xml:space="preserve"> of comprehensive privacy legislation</w:t>
      </w:r>
      <w:r w:rsidR="0073780E" w:rsidRPr="00213D46">
        <w:rPr>
          <w:rFonts w:ascii="Times New Roman" w:hAnsi="Times New Roman" w:cs="Times New Roman"/>
          <w:kern w:val="24"/>
          <w:sz w:val="24"/>
          <w:szCs w:val="24"/>
        </w:rPr>
        <w:t>.</w:t>
      </w:r>
      <w:r w:rsidR="0073780E" w:rsidRPr="00213D46">
        <w:rPr>
          <w:rStyle w:val="FootnoteReference"/>
          <w:rFonts w:ascii="Times New Roman" w:hAnsi="Times New Roman" w:cs="Times New Roman"/>
          <w:kern w:val="24"/>
          <w:sz w:val="24"/>
          <w:szCs w:val="24"/>
        </w:rPr>
        <w:footnoteReference w:id="169"/>
      </w:r>
      <w:r w:rsidR="0073780E" w:rsidRPr="00213D46">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 Under such a scenario, neither the </w:t>
      </w:r>
      <w:r w:rsidR="0073780E">
        <w:rPr>
          <w:rFonts w:ascii="Times New Roman" w:hAnsi="Times New Roman" w:cs="Times New Roman"/>
          <w:kern w:val="24"/>
          <w:sz w:val="24"/>
          <w:szCs w:val="24"/>
        </w:rPr>
        <w:t xml:space="preserve">FTC </w:t>
      </w:r>
      <w:r>
        <w:rPr>
          <w:rFonts w:ascii="Times New Roman" w:hAnsi="Times New Roman" w:cs="Times New Roman"/>
          <w:kern w:val="24"/>
          <w:sz w:val="24"/>
          <w:szCs w:val="24"/>
        </w:rPr>
        <w:t>n</w:t>
      </w:r>
      <w:r w:rsidR="0073780E">
        <w:rPr>
          <w:rFonts w:ascii="Times New Roman" w:hAnsi="Times New Roman" w:cs="Times New Roman"/>
          <w:kern w:val="24"/>
          <w:sz w:val="24"/>
          <w:szCs w:val="24"/>
        </w:rPr>
        <w:t xml:space="preserve">or any other agency </w:t>
      </w:r>
      <w:r>
        <w:rPr>
          <w:rFonts w:ascii="Times New Roman" w:hAnsi="Times New Roman" w:cs="Times New Roman"/>
          <w:kern w:val="24"/>
          <w:sz w:val="24"/>
          <w:szCs w:val="24"/>
        </w:rPr>
        <w:t xml:space="preserve">will </w:t>
      </w:r>
      <w:r w:rsidR="0073780E">
        <w:rPr>
          <w:rFonts w:ascii="Times New Roman" w:hAnsi="Times New Roman" w:cs="Times New Roman"/>
          <w:kern w:val="24"/>
          <w:sz w:val="24"/>
          <w:szCs w:val="24"/>
        </w:rPr>
        <w:t xml:space="preserve">independently assess and approve the code. </w:t>
      </w:r>
      <w:r>
        <w:rPr>
          <w:rFonts w:ascii="Times New Roman" w:hAnsi="Times New Roman" w:cs="Times New Roman"/>
          <w:kern w:val="24"/>
          <w:sz w:val="24"/>
          <w:szCs w:val="24"/>
        </w:rPr>
        <w:t xml:space="preserve">Instead, the report envisions that the government’s role be limited </w:t>
      </w:r>
      <w:r w:rsidR="0073780E">
        <w:rPr>
          <w:rFonts w:ascii="Times New Roman" w:hAnsi="Times New Roman" w:cs="Times New Roman"/>
          <w:kern w:val="24"/>
          <w:sz w:val="24"/>
          <w:szCs w:val="24"/>
        </w:rPr>
        <w:t>to “help[</w:t>
      </w:r>
      <w:proofErr w:type="spellStart"/>
      <w:r w:rsidR="0073780E">
        <w:rPr>
          <w:rFonts w:ascii="Times New Roman" w:hAnsi="Times New Roman" w:cs="Times New Roman"/>
          <w:kern w:val="24"/>
          <w:sz w:val="24"/>
          <w:szCs w:val="24"/>
        </w:rPr>
        <w:t>ing</w:t>
      </w:r>
      <w:proofErr w:type="spellEnd"/>
      <w:r w:rsidR="0073780E">
        <w:rPr>
          <w:rFonts w:ascii="Times New Roman" w:hAnsi="Times New Roman" w:cs="Times New Roman"/>
          <w:kern w:val="24"/>
          <w:sz w:val="24"/>
          <w:szCs w:val="24"/>
        </w:rPr>
        <w:t>] the parties reach clarity</w:t>
      </w:r>
      <w:r>
        <w:rPr>
          <w:rFonts w:ascii="Times New Roman" w:hAnsi="Times New Roman" w:cs="Times New Roman"/>
          <w:kern w:val="24"/>
          <w:sz w:val="24"/>
          <w:szCs w:val="24"/>
        </w:rPr>
        <w:t>,</w:t>
      </w:r>
      <w:r w:rsidR="0073780E">
        <w:rPr>
          <w:rFonts w:ascii="Times New Roman" w:hAnsi="Times New Roman" w:cs="Times New Roman"/>
          <w:kern w:val="24"/>
          <w:sz w:val="24"/>
          <w:szCs w:val="24"/>
        </w:rPr>
        <w:t xml:space="preserve">” and that </w:t>
      </w:r>
      <w:r>
        <w:rPr>
          <w:rFonts w:ascii="Times New Roman" w:hAnsi="Times New Roman" w:cs="Times New Roman"/>
          <w:kern w:val="24"/>
          <w:sz w:val="24"/>
          <w:szCs w:val="24"/>
        </w:rPr>
        <w:t xml:space="preserve">it </w:t>
      </w:r>
      <w:r w:rsidR="0073780E">
        <w:rPr>
          <w:rFonts w:ascii="Times New Roman" w:hAnsi="Times New Roman" w:cs="Times New Roman"/>
          <w:kern w:val="24"/>
          <w:sz w:val="24"/>
          <w:szCs w:val="24"/>
        </w:rPr>
        <w:t>not get involved in “substituting its own judgment” for that of the multi-</w:t>
      </w:r>
      <w:r w:rsidR="0073780E">
        <w:rPr>
          <w:rFonts w:ascii="Times New Roman" w:hAnsi="Times New Roman" w:cs="Times New Roman"/>
          <w:kern w:val="24"/>
          <w:sz w:val="24"/>
          <w:szCs w:val="24"/>
        </w:rPr>
        <w:lastRenderedPageBreak/>
        <w:t>stakeholder group.</w:t>
      </w:r>
      <w:r w:rsidR="0073780E">
        <w:rPr>
          <w:rStyle w:val="FootnoteReference"/>
          <w:rFonts w:ascii="Times New Roman" w:hAnsi="Times New Roman" w:cs="Times New Roman"/>
          <w:kern w:val="24"/>
          <w:sz w:val="24"/>
          <w:szCs w:val="24"/>
        </w:rPr>
        <w:footnoteReference w:id="170"/>
      </w:r>
      <w:r w:rsidR="0073780E">
        <w:rPr>
          <w:rFonts w:ascii="Times New Roman" w:hAnsi="Times New Roman" w:cs="Times New Roman"/>
          <w:kern w:val="24"/>
          <w:sz w:val="24"/>
          <w:szCs w:val="24"/>
        </w:rPr>
        <w:t xml:space="preserve"> This precludes the use of </w:t>
      </w:r>
      <w:r>
        <w:rPr>
          <w:rFonts w:ascii="Times New Roman" w:hAnsi="Times New Roman" w:cs="Times New Roman"/>
          <w:kern w:val="24"/>
          <w:sz w:val="24"/>
          <w:szCs w:val="24"/>
        </w:rPr>
        <w:t xml:space="preserve">mutually </w:t>
      </w:r>
      <w:r w:rsidR="0073780E">
        <w:rPr>
          <w:rFonts w:ascii="Times New Roman" w:hAnsi="Times New Roman" w:cs="Times New Roman"/>
          <w:i/>
          <w:kern w:val="24"/>
          <w:sz w:val="24"/>
          <w:szCs w:val="24"/>
        </w:rPr>
        <w:t xml:space="preserve">approved </w:t>
      </w:r>
      <w:r w:rsidR="0073780E">
        <w:rPr>
          <w:rFonts w:ascii="Times New Roman" w:hAnsi="Times New Roman" w:cs="Times New Roman"/>
          <w:kern w:val="24"/>
          <w:sz w:val="24"/>
          <w:szCs w:val="24"/>
        </w:rPr>
        <w:t xml:space="preserve">codes of conduct that could create a cross-border legal safe harbor for firms that followed a code. </w:t>
      </w:r>
      <w:r w:rsidR="00BD2382">
        <w:rPr>
          <w:rFonts w:ascii="Times New Roman" w:hAnsi="Times New Roman" w:cs="Times New Roman"/>
          <w:kern w:val="24"/>
          <w:sz w:val="24"/>
          <w:szCs w:val="24"/>
        </w:rPr>
        <w:t>It also means that the codes will not create a legal safe harbor – one of the key attractions for industry.  Will such a code be able to attract a sufficient number of industry participants? Again, the NTIA’s current experiment with the multi-stakeholder negotiation over Mobile App Transparency appears to be a valuable one that could provide important lessons about this regulatory approach.</w:t>
      </w:r>
    </w:p>
    <w:p w:rsidR="00826FFD" w:rsidRPr="006D15F7" w:rsidRDefault="00826FFD" w:rsidP="001610E3">
      <w:pPr>
        <w:autoSpaceDE w:val="0"/>
        <w:autoSpaceDN w:val="0"/>
        <w:adjustRightInd w:val="0"/>
        <w:spacing w:after="0" w:line="480" w:lineRule="auto"/>
        <w:rPr>
          <w:rFonts w:ascii="Times New Roman" w:hAnsi="Times New Roman" w:cs="Times New Roman"/>
          <w:kern w:val="24"/>
          <w:sz w:val="24"/>
          <w:szCs w:val="24"/>
        </w:rPr>
      </w:pPr>
    </w:p>
    <w:p w:rsidR="00BD2382" w:rsidRDefault="00BD2382" w:rsidP="001610E3">
      <w:pPr>
        <w:autoSpaceDE w:val="0"/>
        <w:autoSpaceDN w:val="0"/>
        <w:adjustRightInd w:val="0"/>
        <w:spacing w:after="0" w:line="480" w:lineRule="auto"/>
        <w:rPr>
          <w:rFonts w:ascii="Times New Roman" w:hAnsi="Times New Roman" w:cs="Times New Roman"/>
          <w:kern w:val="24"/>
          <w:sz w:val="24"/>
          <w:szCs w:val="24"/>
        </w:rPr>
      </w:pPr>
      <w:r>
        <w:rPr>
          <w:rFonts w:ascii="Times New Roman" w:hAnsi="Times New Roman" w:cs="Times New Roman"/>
          <w:b/>
          <w:kern w:val="24"/>
          <w:sz w:val="24"/>
          <w:szCs w:val="24"/>
        </w:rPr>
        <w:t>V.</w:t>
      </w:r>
      <w:r>
        <w:rPr>
          <w:rFonts w:ascii="Times New Roman" w:hAnsi="Times New Roman" w:cs="Times New Roman"/>
          <w:kern w:val="24"/>
          <w:sz w:val="24"/>
          <w:szCs w:val="24"/>
        </w:rPr>
        <w:t xml:space="preserve">  </w:t>
      </w:r>
      <w:r w:rsidR="00904B1F" w:rsidRPr="00BD2382">
        <w:rPr>
          <w:rFonts w:ascii="Times New Roman" w:hAnsi="Times New Roman" w:cs="Times New Roman"/>
          <w:b/>
          <w:kern w:val="24"/>
          <w:sz w:val="24"/>
          <w:szCs w:val="24"/>
        </w:rPr>
        <w:t>Recommendations</w:t>
      </w:r>
      <w:r w:rsidR="00801B02" w:rsidRPr="00BD2382">
        <w:rPr>
          <w:rFonts w:ascii="Times New Roman" w:hAnsi="Times New Roman" w:cs="Times New Roman"/>
          <w:b/>
          <w:kern w:val="24"/>
          <w:sz w:val="24"/>
          <w:szCs w:val="24"/>
        </w:rPr>
        <w:t xml:space="preserve"> </w:t>
      </w:r>
    </w:p>
    <w:p w:rsidR="00AD3C61" w:rsidRDefault="003E7DBF"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While some aspects of the discussion, such as how best to structure stakeholder involvement in the code negotiation process, will require further study, this art</w:t>
      </w:r>
      <w:r w:rsidR="00C91B29">
        <w:rPr>
          <w:rFonts w:ascii="Times New Roman" w:hAnsi="Times New Roman" w:cs="Times New Roman"/>
          <w:kern w:val="24"/>
          <w:sz w:val="24"/>
          <w:szCs w:val="24"/>
        </w:rPr>
        <w:t xml:space="preserve">icle’s main points are clear. </w:t>
      </w:r>
      <w:r>
        <w:rPr>
          <w:rFonts w:ascii="Times New Roman" w:hAnsi="Times New Roman" w:cs="Times New Roman"/>
          <w:kern w:val="24"/>
          <w:sz w:val="24"/>
          <w:szCs w:val="24"/>
        </w:rPr>
        <w:t xml:space="preserve">First, </w:t>
      </w:r>
      <w:r w:rsidR="006D15F7">
        <w:rPr>
          <w:rFonts w:ascii="Times New Roman" w:hAnsi="Times New Roman" w:cs="Times New Roman"/>
          <w:kern w:val="24"/>
          <w:sz w:val="24"/>
          <w:szCs w:val="24"/>
        </w:rPr>
        <w:t>in a world of increasingly global data flows</w:t>
      </w:r>
      <w:r w:rsidR="006A4C40">
        <w:rPr>
          <w:rFonts w:ascii="Times New Roman" w:hAnsi="Times New Roman" w:cs="Times New Roman"/>
          <w:kern w:val="24"/>
          <w:sz w:val="24"/>
          <w:szCs w:val="24"/>
        </w:rPr>
        <w:t>,</w:t>
      </w:r>
      <w:r w:rsidR="006D15F7">
        <w:rPr>
          <w:rFonts w:ascii="Times New Roman" w:hAnsi="Times New Roman" w:cs="Times New Roman"/>
          <w:kern w:val="24"/>
          <w:sz w:val="24"/>
          <w:szCs w:val="24"/>
        </w:rPr>
        <w:t xml:space="preserve"> cross-border privacy rules can play an important role in fostering the Internet economy and in enhancing privacy protections for individuals.  </w:t>
      </w:r>
      <w:r w:rsidR="006A4C40">
        <w:rPr>
          <w:rFonts w:ascii="Times New Roman" w:hAnsi="Times New Roman" w:cs="Times New Roman"/>
          <w:kern w:val="24"/>
          <w:sz w:val="24"/>
          <w:szCs w:val="24"/>
        </w:rPr>
        <w:t>Second, w</w:t>
      </w:r>
      <w:r w:rsidR="006A4C40" w:rsidRPr="00DB1679">
        <w:rPr>
          <w:rFonts w:ascii="Times New Roman" w:hAnsi="Times New Roman" w:cs="Times New Roman"/>
          <w:kern w:val="24"/>
          <w:sz w:val="24"/>
          <w:szCs w:val="24"/>
        </w:rPr>
        <w:t>hen it comes to developing global privacy rules, co-regulation</w:t>
      </w:r>
      <w:r w:rsidR="006A4C40">
        <w:rPr>
          <w:rFonts w:ascii="Times New Roman" w:hAnsi="Times New Roman" w:cs="Times New Roman"/>
          <w:kern w:val="24"/>
          <w:sz w:val="24"/>
          <w:szCs w:val="24"/>
        </w:rPr>
        <w:t xml:space="preserve"> is likely to be more practical </w:t>
      </w:r>
      <w:r w:rsidR="006A4C40" w:rsidRPr="00DB1679">
        <w:rPr>
          <w:rFonts w:ascii="Times New Roman" w:hAnsi="Times New Roman" w:cs="Times New Roman"/>
          <w:kern w:val="24"/>
          <w:sz w:val="24"/>
          <w:szCs w:val="24"/>
        </w:rPr>
        <w:t>than direct regulation, and more effective than self-regulation.</w:t>
      </w:r>
      <w:r w:rsidR="00C91B29">
        <w:rPr>
          <w:rFonts w:ascii="Times New Roman" w:hAnsi="Times New Roman" w:cs="Times New Roman"/>
          <w:kern w:val="24"/>
          <w:sz w:val="24"/>
          <w:szCs w:val="24"/>
        </w:rPr>
        <w:t xml:space="preserve"> </w:t>
      </w:r>
      <w:r w:rsidR="006A4C40">
        <w:rPr>
          <w:rFonts w:ascii="Times New Roman" w:hAnsi="Times New Roman" w:cs="Times New Roman"/>
          <w:kern w:val="24"/>
          <w:sz w:val="24"/>
          <w:szCs w:val="24"/>
        </w:rPr>
        <w:t>Third, c</w:t>
      </w:r>
      <w:r w:rsidR="006A4C40" w:rsidRPr="00DB1679">
        <w:rPr>
          <w:rFonts w:ascii="Times New Roman" w:hAnsi="Times New Roman" w:cs="Times New Roman"/>
          <w:kern w:val="24"/>
          <w:sz w:val="24"/>
          <w:szCs w:val="24"/>
        </w:rPr>
        <w:t xml:space="preserve">o-regulation at the level of the industry </w:t>
      </w:r>
      <w:r w:rsidR="006A4C40" w:rsidRPr="00805EAB">
        <w:rPr>
          <w:rFonts w:ascii="Times New Roman" w:hAnsi="Times New Roman" w:cs="Times New Roman"/>
          <w:i/>
          <w:kern w:val="24"/>
          <w:sz w:val="24"/>
          <w:szCs w:val="24"/>
        </w:rPr>
        <w:t>sector</w:t>
      </w:r>
      <w:r w:rsidR="006A4C40" w:rsidRPr="00DB1679">
        <w:rPr>
          <w:rFonts w:ascii="Times New Roman" w:hAnsi="Times New Roman" w:cs="Times New Roman"/>
          <w:kern w:val="24"/>
          <w:sz w:val="24"/>
          <w:szCs w:val="24"/>
        </w:rPr>
        <w:t xml:space="preserve"> will likely prove more effective than co-regulation at </w:t>
      </w:r>
      <w:r w:rsidR="006A4C40">
        <w:rPr>
          <w:rFonts w:ascii="Times New Roman" w:hAnsi="Times New Roman" w:cs="Times New Roman"/>
          <w:kern w:val="24"/>
          <w:sz w:val="24"/>
          <w:szCs w:val="24"/>
        </w:rPr>
        <w:t>the level of the</w:t>
      </w:r>
      <w:r w:rsidR="006A4C40" w:rsidRPr="00DB1679">
        <w:rPr>
          <w:rFonts w:ascii="Times New Roman" w:hAnsi="Times New Roman" w:cs="Times New Roman"/>
          <w:kern w:val="24"/>
          <w:sz w:val="24"/>
          <w:szCs w:val="24"/>
        </w:rPr>
        <w:t xml:space="preserve"> </w:t>
      </w:r>
      <w:r w:rsidR="006A4C40" w:rsidRPr="00805EAB">
        <w:rPr>
          <w:rFonts w:ascii="Times New Roman" w:hAnsi="Times New Roman" w:cs="Times New Roman"/>
          <w:i/>
          <w:kern w:val="24"/>
          <w:sz w:val="24"/>
          <w:szCs w:val="24"/>
        </w:rPr>
        <w:t>firm</w:t>
      </w:r>
      <w:r w:rsidR="00BD2382">
        <w:rPr>
          <w:rFonts w:ascii="Times New Roman" w:hAnsi="Times New Roman" w:cs="Times New Roman"/>
          <w:kern w:val="24"/>
          <w:sz w:val="24"/>
          <w:szCs w:val="24"/>
        </w:rPr>
        <w:t xml:space="preserve"> or at the level of the </w:t>
      </w:r>
      <w:r w:rsidR="00BD2382">
        <w:rPr>
          <w:rFonts w:ascii="Times New Roman" w:hAnsi="Times New Roman" w:cs="Times New Roman"/>
          <w:i/>
          <w:kern w:val="24"/>
          <w:sz w:val="24"/>
          <w:szCs w:val="24"/>
        </w:rPr>
        <w:t xml:space="preserve">economy </w:t>
      </w:r>
      <w:r w:rsidR="00BD2382">
        <w:rPr>
          <w:rFonts w:ascii="Times New Roman" w:hAnsi="Times New Roman" w:cs="Times New Roman"/>
          <w:kern w:val="24"/>
          <w:sz w:val="24"/>
          <w:szCs w:val="24"/>
        </w:rPr>
        <w:t>as a whole.</w:t>
      </w:r>
      <w:r w:rsidR="006A4C40">
        <w:rPr>
          <w:rFonts w:ascii="Times New Roman" w:hAnsi="Times New Roman" w:cs="Times New Roman"/>
          <w:kern w:val="24"/>
          <w:sz w:val="24"/>
          <w:szCs w:val="24"/>
        </w:rPr>
        <w:t xml:space="preserve"> The three cross-border privacy rule initiatives—</w:t>
      </w:r>
      <w:r w:rsidR="006A4C40" w:rsidRPr="006A4C40">
        <w:rPr>
          <w:rFonts w:ascii="Times New Roman" w:hAnsi="Times New Roman" w:cs="Times New Roman"/>
          <w:kern w:val="24"/>
          <w:sz w:val="24"/>
          <w:szCs w:val="24"/>
        </w:rPr>
        <w:t>the U.S.-</w:t>
      </w:r>
      <w:r w:rsidR="001C6D99">
        <w:rPr>
          <w:rFonts w:ascii="Times New Roman" w:hAnsi="Times New Roman" w:cs="Times New Roman"/>
          <w:kern w:val="24"/>
          <w:sz w:val="24"/>
          <w:szCs w:val="24"/>
        </w:rPr>
        <w:t xml:space="preserve">E.U. </w:t>
      </w:r>
      <w:r w:rsidR="006A4C40" w:rsidRPr="006A4C40">
        <w:rPr>
          <w:rFonts w:ascii="Times New Roman" w:hAnsi="Times New Roman" w:cs="Times New Roman"/>
          <w:kern w:val="24"/>
          <w:sz w:val="24"/>
          <w:szCs w:val="24"/>
        </w:rPr>
        <w:t>Safe Harbor Agreement (U.S.-</w:t>
      </w:r>
      <w:r w:rsidR="001C6D99">
        <w:rPr>
          <w:rFonts w:ascii="Times New Roman" w:hAnsi="Times New Roman" w:cs="Times New Roman"/>
          <w:kern w:val="24"/>
          <w:sz w:val="24"/>
          <w:szCs w:val="24"/>
        </w:rPr>
        <w:t xml:space="preserve">E.U. </w:t>
      </w:r>
      <w:r w:rsidR="006A4C40" w:rsidRPr="006A4C40">
        <w:rPr>
          <w:rFonts w:ascii="Times New Roman" w:hAnsi="Times New Roman" w:cs="Times New Roman"/>
          <w:kern w:val="24"/>
          <w:sz w:val="24"/>
          <w:szCs w:val="24"/>
        </w:rPr>
        <w:t xml:space="preserve">Safe Harbor); the </w:t>
      </w:r>
      <w:r w:rsidR="001C6D99">
        <w:rPr>
          <w:rFonts w:ascii="Times New Roman" w:hAnsi="Times New Roman" w:cs="Times New Roman"/>
          <w:kern w:val="24"/>
          <w:sz w:val="24"/>
          <w:szCs w:val="24"/>
        </w:rPr>
        <w:t>EU</w:t>
      </w:r>
      <w:r w:rsidR="006A4C40" w:rsidRPr="006A4C40">
        <w:rPr>
          <w:rFonts w:ascii="Times New Roman" w:hAnsi="Times New Roman" w:cs="Times New Roman"/>
          <w:kern w:val="24"/>
          <w:sz w:val="24"/>
          <w:szCs w:val="24"/>
        </w:rPr>
        <w:t>’s Binding Corporate Rules program (BCR); and the Asian-Pacific Economic Cooperation’s  Cross-Border Privacy Rules  initiative (CBPR)</w:t>
      </w:r>
      <w:r w:rsidR="006A4C40">
        <w:rPr>
          <w:rFonts w:ascii="Times New Roman" w:hAnsi="Times New Roman" w:cs="Times New Roman"/>
          <w:kern w:val="24"/>
          <w:sz w:val="24"/>
          <w:szCs w:val="24"/>
        </w:rPr>
        <w:t>—</w:t>
      </w:r>
      <w:r w:rsidR="006A4C40" w:rsidRPr="006A4C40">
        <w:rPr>
          <w:rFonts w:ascii="Times New Roman" w:hAnsi="Times New Roman" w:cs="Times New Roman"/>
          <w:kern w:val="24"/>
          <w:sz w:val="24"/>
          <w:szCs w:val="24"/>
        </w:rPr>
        <w:t>utilize a fo</w:t>
      </w:r>
      <w:r w:rsidR="006A4C40">
        <w:rPr>
          <w:rFonts w:ascii="Times New Roman" w:hAnsi="Times New Roman" w:cs="Times New Roman"/>
          <w:kern w:val="24"/>
          <w:sz w:val="24"/>
          <w:szCs w:val="24"/>
        </w:rPr>
        <w:t>rm of co-regulation, but do</w:t>
      </w:r>
      <w:r w:rsidR="006A4C40" w:rsidRPr="006A4C40">
        <w:rPr>
          <w:rFonts w:ascii="Times New Roman" w:hAnsi="Times New Roman" w:cs="Times New Roman"/>
          <w:kern w:val="24"/>
          <w:sz w:val="24"/>
          <w:szCs w:val="24"/>
        </w:rPr>
        <w:t xml:space="preserve"> so at the level of the </w:t>
      </w:r>
      <w:r w:rsidR="006A4C40">
        <w:rPr>
          <w:rFonts w:ascii="Times New Roman" w:hAnsi="Times New Roman" w:cs="Times New Roman"/>
          <w:kern w:val="24"/>
          <w:sz w:val="24"/>
          <w:szCs w:val="24"/>
        </w:rPr>
        <w:t>firm,</w:t>
      </w:r>
      <w:r w:rsidR="00BD2382">
        <w:rPr>
          <w:rFonts w:ascii="Times New Roman" w:hAnsi="Times New Roman" w:cs="Times New Roman"/>
          <w:kern w:val="24"/>
          <w:sz w:val="24"/>
          <w:szCs w:val="24"/>
        </w:rPr>
        <w:t xml:space="preserve"> or of the economy as a whole. </w:t>
      </w:r>
      <w:r w:rsidR="006A4C40">
        <w:rPr>
          <w:rFonts w:ascii="Times New Roman" w:hAnsi="Times New Roman" w:cs="Times New Roman"/>
          <w:kern w:val="24"/>
          <w:sz w:val="24"/>
          <w:szCs w:val="24"/>
        </w:rPr>
        <w:t>That design flaw weakens these approaches</w:t>
      </w:r>
      <w:r w:rsidR="006A4C40" w:rsidRPr="006A4C40">
        <w:rPr>
          <w:rFonts w:ascii="Times New Roman" w:hAnsi="Times New Roman" w:cs="Times New Roman"/>
          <w:kern w:val="24"/>
          <w:sz w:val="24"/>
          <w:szCs w:val="24"/>
        </w:rPr>
        <w:t xml:space="preserve">. Governments and industry should experiment with </w:t>
      </w:r>
      <w:r w:rsidR="006A4C40" w:rsidRPr="006A4C40">
        <w:rPr>
          <w:rFonts w:ascii="Times New Roman" w:hAnsi="Times New Roman" w:cs="Times New Roman"/>
          <w:i/>
          <w:kern w:val="24"/>
          <w:sz w:val="24"/>
          <w:szCs w:val="24"/>
        </w:rPr>
        <w:t>sector-based co-regulation</w:t>
      </w:r>
      <w:r w:rsidR="006A4C40" w:rsidRPr="006A4C40">
        <w:rPr>
          <w:rFonts w:ascii="Times New Roman" w:hAnsi="Times New Roman" w:cs="Times New Roman"/>
          <w:sz w:val="24"/>
          <w:szCs w:val="24"/>
        </w:rPr>
        <w:t xml:space="preserve"> </w:t>
      </w:r>
      <w:r w:rsidR="006A4C40">
        <w:rPr>
          <w:rFonts w:ascii="Times New Roman" w:hAnsi="Times New Roman" w:cs="Times New Roman"/>
          <w:sz w:val="24"/>
          <w:szCs w:val="24"/>
        </w:rPr>
        <w:t>as a supplement to the existing initiatives.</w:t>
      </w:r>
      <w:r w:rsidR="00BD2382">
        <w:rPr>
          <w:rFonts w:ascii="Times New Roman" w:hAnsi="Times New Roman" w:cs="Times New Roman"/>
          <w:kern w:val="24"/>
          <w:sz w:val="24"/>
          <w:szCs w:val="24"/>
        </w:rPr>
        <w:t xml:space="preserve"> </w:t>
      </w:r>
    </w:p>
    <w:p w:rsidR="00C91B29" w:rsidRDefault="00EE754D" w:rsidP="00AD3C6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Fourth, </w:t>
      </w:r>
      <w:r w:rsidR="001C6D99">
        <w:rPr>
          <w:rFonts w:ascii="Times New Roman" w:hAnsi="Times New Roman" w:cs="Times New Roman"/>
          <w:sz w:val="24"/>
          <w:szCs w:val="24"/>
        </w:rPr>
        <w:t xml:space="preserve">E.U. </w:t>
      </w:r>
      <w:r w:rsidR="006A4C40">
        <w:rPr>
          <w:rFonts w:ascii="Times New Roman" w:hAnsi="Times New Roman" w:cs="Times New Roman"/>
          <w:sz w:val="24"/>
          <w:szCs w:val="24"/>
        </w:rPr>
        <w:t xml:space="preserve">and APEC privacy </w:t>
      </w:r>
      <w:r w:rsidR="00367788">
        <w:rPr>
          <w:rFonts w:ascii="Times New Roman" w:hAnsi="Times New Roman" w:cs="Times New Roman"/>
          <w:sz w:val="24"/>
          <w:szCs w:val="24"/>
        </w:rPr>
        <w:t xml:space="preserve">rules may overlap sufficiently to allow a single code to satisfy both </w:t>
      </w:r>
      <w:r w:rsidR="00F24D68">
        <w:rPr>
          <w:rFonts w:ascii="Times New Roman" w:hAnsi="Times New Roman" w:cs="Times New Roman"/>
          <w:sz w:val="24"/>
          <w:szCs w:val="24"/>
        </w:rPr>
        <w:t>regimes</w:t>
      </w:r>
      <w:r>
        <w:rPr>
          <w:rFonts w:ascii="Times New Roman" w:hAnsi="Times New Roman" w:cs="Times New Roman"/>
          <w:sz w:val="24"/>
          <w:szCs w:val="24"/>
        </w:rPr>
        <w:t>.  Further study will be required to confirm this.</w:t>
      </w:r>
      <w:r w:rsidR="00BD2382">
        <w:rPr>
          <w:rFonts w:ascii="Times New Roman" w:hAnsi="Times New Roman" w:cs="Times New Roman"/>
          <w:kern w:val="24"/>
          <w:sz w:val="24"/>
          <w:szCs w:val="24"/>
        </w:rPr>
        <w:t xml:space="preserve">  </w:t>
      </w:r>
      <w:r>
        <w:rPr>
          <w:rFonts w:ascii="Times New Roman" w:hAnsi="Times New Roman" w:cs="Times New Roman"/>
          <w:sz w:val="24"/>
          <w:szCs w:val="24"/>
        </w:rPr>
        <w:t xml:space="preserve">Fifth, </w:t>
      </w:r>
      <w:r w:rsidR="00F24D68">
        <w:rPr>
          <w:rFonts w:ascii="Times New Roman" w:hAnsi="Times New Roman" w:cs="Times New Roman"/>
          <w:sz w:val="24"/>
          <w:szCs w:val="24"/>
        </w:rPr>
        <w:t xml:space="preserve">the </w:t>
      </w:r>
      <w:r w:rsidR="001C6D99">
        <w:rPr>
          <w:rFonts w:ascii="Times New Roman" w:hAnsi="Times New Roman" w:cs="Times New Roman"/>
          <w:sz w:val="24"/>
          <w:szCs w:val="24"/>
        </w:rPr>
        <w:t xml:space="preserve">E.U. </w:t>
      </w:r>
      <w:r w:rsidR="00F24D68">
        <w:rPr>
          <w:rFonts w:ascii="Times New Roman" w:hAnsi="Times New Roman" w:cs="Times New Roman"/>
          <w:sz w:val="24"/>
          <w:szCs w:val="24"/>
        </w:rPr>
        <w:t xml:space="preserve">and APEC systems each </w:t>
      </w:r>
      <w:r>
        <w:rPr>
          <w:rFonts w:ascii="Times New Roman" w:hAnsi="Times New Roman" w:cs="Times New Roman"/>
          <w:sz w:val="24"/>
          <w:szCs w:val="24"/>
        </w:rPr>
        <w:t xml:space="preserve">include </w:t>
      </w:r>
      <w:r w:rsidR="00F24D68">
        <w:rPr>
          <w:rFonts w:ascii="Times New Roman" w:hAnsi="Times New Roman" w:cs="Times New Roman"/>
          <w:sz w:val="24"/>
          <w:szCs w:val="24"/>
        </w:rPr>
        <w:t xml:space="preserve">code approval mechanisms that could, with some important modifications, </w:t>
      </w:r>
      <w:r>
        <w:rPr>
          <w:rFonts w:ascii="Times New Roman" w:hAnsi="Times New Roman" w:cs="Times New Roman"/>
          <w:sz w:val="24"/>
          <w:szCs w:val="24"/>
        </w:rPr>
        <w:t>serve as the basis for approving and enforcing sector-based codes that bridge these two regional initiatives.  In order for this to occur:</w:t>
      </w:r>
    </w:p>
    <w:p w:rsidR="00EA3E54" w:rsidRPr="00C91B29" w:rsidRDefault="00EE754D" w:rsidP="00BD2382">
      <w:pPr>
        <w:pStyle w:val="ListParagraph"/>
        <w:numPr>
          <w:ilvl w:val="0"/>
          <w:numId w:val="18"/>
        </w:numPr>
        <w:autoSpaceDE w:val="0"/>
        <w:autoSpaceDN w:val="0"/>
        <w:adjustRightInd w:val="0"/>
        <w:spacing w:after="0" w:line="240" w:lineRule="auto"/>
        <w:rPr>
          <w:rFonts w:ascii="Times New Roman" w:hAnsi="Times New Roman" w:cs="Times New Roman"/>
          <w:kern w:val="24"/>
          <w:sz w:val="24"/>
          <w:szCs w:val="24"/>
        </w:rPr>
      </w:pPr>
      <w:r w:rsidRPr="00BD2382">
        <w:rPr>
          <w:rFonts w:ascii="Times New Roman" w:hAnsi="Times New Roman" w:cs="Times New Roman"/>
          <w:sz w:val="24"/>
          <w:szCs w:val="24"/>
        </w:rPr>
        <w:t xml:space="preserve">The </w:t>
      </w:r>
      <w:r w:rsidR="001C6D99">
        <w:rPr>
          <w:rFonts w:ascii="Times New Roman" w:hAnsi="Times New Roman" w:cs="Times New Roman"/>
          <w:sz w:val="24"/>
          <w:szCs w:val="24"/>
        </w:rPr>
        <w:t xml:space="preserve">E.U. </w:t>
      </w:r>
      <w:r w:rsidRPr="00BD2382">
        <w:rPr>
          <w:rFonts w:ascii="Times New Roman" w:hAnsi="Times New Roman" w:cs="Times New Roman"/>
          <w:sz w:val="24"/>
          <w:szCs w:val="24"/>
        </w:rPr>
        <w:t xml:space="preserve">should retain Article </w:t>
      </w:r>
      <w:r w:rsidR="00BD2382">
        <w:rPr>
          <w:rFonts w:ascii="Times New Roman" w:hAnsi="Times New Roman" w:cs="Times New Roman"/>
          <w:sz w:val="24"/>
          <w:szCs w:val="24"/>
        </w:rPr>
        <w:t xml:space="preserve">27 </w:t>
      </w:r>
      <w:r w:rsidRPr="00BD2382">
        <w:rPr>
          <w:rFonts w:ascii="Times New Roman" w:hAnsi="Times New Roman" w:cs="Times New Roman"/>
          <w:sz w:val="24"/>
          <w:szCs w:val="24"/>
        </w:rPr>
        <w:t xml:space="preserve">of the 1995 Data Protection Directive </w:t>
      </w:r>
      <w:r w:rsidR="00EA3E54" w:rsidRPr="00BD2382">
        <w:rPr>
          <w:rFonts w:ascii="Times New Roman" w:hAnsi="Times New Roman" w:cs="Times New Roman"/>
          <w:sz w:val="24"/>
          <w:szCs w:val="24"/>
        </w:rPr>
        <w:t>which allows the Article 29 Working Group to approve sector-based codes and create a legal safe</w:t>
      </w:r>
      <w:r w:rsidR="00BD2382">
        <w:rPr>
          <w:rFonts w:ascii="Times New Roman" w:hAnsi="Times New Roman" w:cs="Times New Roman"/>
          <w:sz w:val="24"/>
          <w:szCs w:val="24"/>
        </w:rPr>
        <w:t xml:space="preserve"> harbor with respect to all </w:t>
      </w:r>
      <w:r w:rsidR="001C6D99">
        <w:rPr>
          <w:rFonts w:ascii="Times New Roman" w:hAnsi="Times New Roman" w:cs="Times New Roman"/>
          <w:sz w:val="24"/>
          <w:szCs w:val="24"/>
        </w:rPr>
        <w:t xml:space="preserve">E.U. </w:t>
      </w:r>
      <w:r w:rsidR="00BD2382">
        <w:rPr>
          <w:rFonts w:ascii="Times New Roman" w:hAnsi="Times New Roman" w:cs="Times New Roman"/>
          <w:sz w:val="24"/>
          <w:szCs w:val="24"/>
        </w:rPr>
        <w:t>Member S</w:t>
      </w:r>
      <w:r w:rsidR="00EA3E54" w:rsidRPr="00BD2382">
        <w:rPr>
          <w:rFonts w:ascii="Times New Roman" w:hAnsi="Times New Roman" w:cs="Times New Roman"/>
          <w:sz w:val="24"/>
          <w:szCs w:val="24"/>
        </w:rPr>
        <w:t>tate data protection laws.</w:t>
      </w:r>
    </w:p>
    <w:p w:rsidR="00C91B29" w:rsidRPr="00BD2382" w:rsidRDefault="00C91B29" w:rsidP="00C91B29">
      <w:pPr>
        <w:pStyle w:val="ListParagraph"/>
        <w:autoSpaceDE w:val="0"/>
        <w:autoSpaceDN w:val="0"/>
        <w:adjustRightInd w:val="0"/>
        <w:spacing w:after="0" w:line="240" w:lineRule="auto"/>
        <w:rPr>
          <w:rFonts w:ascii="Times New Roman" w:hAnsi="Times New Roman" w:cs="Times New Roman"/>
          <w:kern w:val="24"/>
          <w:sz w:val="24"/>
          <w:szCs w:val="24"/>
        </w:rPr>
      </w:pPr>
    </w:p>
    <w:p w:rsidR="00EE754D" w:rsidRPr="00C91B29" w:rsidRDefault="00EA3E54" w:rsidP="00BD2382">
      <w:pPr>
        <w:pStyle w:val="ListParagraph"/>
        <w:numPr>
          <w:ilvl w:val="0"/>
          <w:numId w:val="18"/>
        </w:numPr>
        <w:autoSpaceDE w:val="0"/>
        <w:autoSpaceDN w:val="0"/>
        <w:adjustRightInd w:val="0"/>
        <w:spacing w:after="0" w:line="240" w:lineRule="auto"/>
        <w:rPr>
          <w:rFonts w:ascii="Times New Roman" w:hAnsi="Times New Roman" w:cs="Times New Roman"/>
          <w:kern w:val="24"/>
          <w:sz w:val="24"/>
          <w:szCs w:val="24"/>
        </w:rPr>
      </w:pPr>
      <w:r w:rsidRPr="00BD2382">
        <w:rPr>
          <w:rFonts w:ascii="Times New Roman" w:hAnsi="Times New Roman" w:cs="Times New Roman"/>
          <w:sz w:val="24"/>
          <w:szCs w:val="24"/>
        </w:rPr>
        <w:t xml:space="preserve">If the </w:t>
      </w:r>
      <w:r w:rsidR="001C6D99">
        <w:rPr>
          <w:rFonts w:ascii="Times New Roman" w:hAnsi="Times New Roman" w:cs="Times New Roman"/>
          <w:sz w:val="24"/>
          <w:szCs w:val="24"/>
        </w:rPr>
        <w:t xml:space="preserve">E.U. </w:t>
      </w:r>
      <w:r w:rsidRPr="00BD2382">
        <w:rPr>
          <w:rFonts w:ascii="Times New Roman" w:hAnsi="Times New Roman" w:cs="Times New Roman"/>
          <w:sz w:val="24"/>
          <w:szCs w:val="24"/>
        </w:rPr>
        <w:t xml:space="preserve">adopts the General Data Protection Regulation, then it should retain </w:t>
      </w:r>
      <w:r w:rsidR="00EE754D" w:rsidRPr="00BD2382">
        <w:rPr>
          <w:rFonts w:ascii="Times New Roman" w:hAnsi="Times New Roman" w:cs="Times New Roman"/>
          <w:sz w:val="24"/>
          <w:szCs w:val="24"/>
        </w:rPr>
        <w:t xml:space="preserve">Article </w:t>
      </w:r>
      <w:r w:rsidR="00BD2382">
        <w:rPr>
          <w:rFonts w:ascii="Times New Roman" w:hAnsi="Times New Roman" w:cs="Times New Roman"/>
          <w:sz w:val="24"/>
          <w:szCs w:val="24"/>
        </w:rPr>
        <w:t xml:space="preserve">38 </w:t>
      </w:r>
      <w:r w:rsidR="00EE754D" w:rsidRPr="00BD2382">
        <w:rPr>
          <w:rFonts w:ascii="Times New Roman" w:hAnsi="Times New Roman" w:cs="Times New Roman"/>
          <w:sz w:val="24"/>
          <w:szCs w:val="24"/>
        </w:rPr>
        <w:t xml:space="preserve">of the proposed </w:t>
      </w:r>
      <w:r w:rsidRPr="00BD2382">
        <w:rPr>
          <w:rFonts w:ascii="Times New Roman" w:hAnsi="Times New Roman" w:cs="Times New Roman"/>
          <w:sz w:val="24"/>
          <w:szCs w:val="24"/>
        </w:rPr>
        <w:t>GDPR which allows the Commission to approve sector-based data protection codes and so create a legal safe harbor with respect to the GDPR.</w:t>
      </w:r>
    </w:p>
    <w:p w:rsidR="00C91B29" w:rsidRPr="00C91B29" w:rsidRDefault="00C91B29" w:rsidP="00C91B29">
      <w:pPr>
        <w:autoSpaceDE w:val="0"/>
        <w:autoSpaceDN w:val="0"/>
        <w:adjustRightInd w:val="0"/>
        <w:spacing w:after="0" w:line="240" w:lineRule="auto"/>
        <w:rPr>
          <w:rFonts w:ascii="Times New Roman" w:hAnsi="Times New Roman" w:cs="Times New Roman"/>
          <w:kern w:val="24"/>
          <w:sz w:val="24"/>
          <w:szCs w:val="24"/>
        </w:rPr>
      </w:pPr>
    </w:p>
    <w:p w:rsidR="00C91B29" w:rsidRPr="001610E3" w:rsidRDefault="00EE754D" w:rsidP="001610E3">
      <w:pPr>
        <w:pStyle w:val="ListParagraph"/>
        <w:numPr>
          <w:ilvl w:val="0"/>
          <w:numId w:val="18"/>
        </w:numPr>
        <w:autoSpaceDE w:val="0"/>
        <w:autoSpaceDN w:val="0"/>
        <w:adjustRightInd w:val="0"/>
        <w:spacing w:after="0" w:line="240" w:lineRule="auto"/>
        <w:rPr>
          <w:rFonts w:ascii="Times New Roman" w:hAnsi="Times New Roman" w:cs="Times New Roman"/>
          <w:kern w:val="24"/>
          <w:sz w:val="24"/>
          <w:szCs w:val="24"/>
        </w:rPr>
      </w:pPr>
      <w:r w:rsidRPr="00BD2382">
        <w:rPr>
          <w:rFonts w:ascii="Times New Roman" w:hAnsi="Times New Roman" w:cs="Times New Roman"/>
          <w:sz w:val="24"/>
          <w:szCs w:val="24"/>
        </w:rPr>
        <w:t xml:space="preserve">APEC should authorize Accountability Agents to approve </w:t>
      </w:r>
      <w:r w:rsidRPr="00BD2382">
        <w:rPr>
          <w:rFonts w:ascii="Times New Roman" w:hAnsi="Times New Roman" w:cs="Times New Roman"/>
          <w:i/>
          <w:sz w:val="24"/>
          <w:szCs w:val="24"/>
        </w:rPr>
        <w:t>sector-based</w:t>
      </w:r>
      <w:r w:rsidRPr="00BD2382">
        <w:rPr>
          <w:rFonts w:ascii="Times New Roman" w:hAnsi="Times New Roman" w:cs="Times New Roman"/>
          <w:sz w:val="24"/>
          <w:szCs w:val="24"/>
        </w:rPr>
        <w:t xml:space="preserve"> codes, not just those that individual companies submit.</w:t>
      </w:r>
    </w:p>
    <w:p w:rsidR="00BD2382" w:rsidRPr="00C91B29" w:rsidRDefault="00EE754D" w:rsidP="00C91B29">
      <w:pPr>
        <w:autoSpaceDE w:val="0"/>
        <w:autoSpaceDN w:val="0"/>
        <w:adjustRightInd w:val="0"/>
        <w:spacing w:after="0" w:line="240" w:lineRule="auto"/>
        <w:rPr>
          <w:rFonts w:ascii="Times New Roman" w:hAnsi="Times New Roman" w:cs="Times New Roman"/>
          <w:kern w:val="24"/>
          <w:sz w:val="24"/>
          <w:szCs w:val="24"/>
        </w:rPr>
      </w:pPr>
      <w:r w:rsidRPr="00C91B29">
        <w:rPr>
          <w:rFonts w:ascii="Times New Roman" w:hAnsi="Times New Roman" w:cs="Times New Roman"/>
          <w:sz w:val="24"/>
          <w:szCs w:val="24"/>
        </w:rPr>
        <w:t xml:space="preserve">  </w:t>
      </w:r>
    </w:p>
    <w:p w:rsidR="00EA3E54" w:rsidRPr="00C91B29" w:rsidRDefault="00EE754D" w:rsidP="00BD2382">
      <w:pPr>
        <w:pStyle w:val="ListParagraph"/>
        <w:numPr>
          <w:ilvl w:val="0"/>
          <w:numId w:val="18"/>
        </w:numPr>
        <w:autoSpaceDE w:val="0"/>
        <w:autoSpaceDN w:val="0"/>
        <w:adjustRightInd w:val="0"/>
        <w:spacing w:after="0" w:line="240" w:lineRule="auto"/>
        <w:rPr>
          <w:rFonts w:ascii="Times New Roman" w:hAnsi="Times New Roman" w:cs="Times New Roman"/>
          <w:kern w:val="24"/>
          <w:sz w:val="24"/>
          <w:szCs w:val="24"/>
        </w:rPr>
      </w:pPr>
      <w:r w:rsidRPr="00BD2382">
        <w:rPr>
          <w:rFonts w:ascii="Times New Roman" w:hAnsi="Times New Roman" w:cs="Times New Roman"/>
          <w:sz w:val="24"/>
          <w:szCs w:val="24"/>
        </w:rPr>
        <w:t xml:space="preserve">APEC should </w:t>
      </w:r>
      <w:r w:rsidR="00EA3E54" w:rsidRPr="00BD2382">
        <w:rPr>
          <w:rFonts w:ascii="Times New Roman" w:hAnsi="Times New Roman" w:cs="Times New Roman"/>
          <w:sz w:val="24"/>
          <w:szCs w:val="24"/>
        </w:rPr>
        <w:t xml:space="preserve">further define and </w:t>
      </w:r>
      <w:r w:rsidRPr="00BD2382">
        <w:rPr>
          <w:rFonts w:ascii="Times New Roman" w:hAnsi="Times New Roman" w:cs="Times New Roman"/>
          <w:sz w:val="24"/>
          <w:szCs w:val="24"/>
        </w:rPr>
        <w:t xml:space="preserve">strengthen the safe harbor </w:t>
      </w:r>
      <w:r w:rsidR="00EA3E54" w:rsidRPr="00BD2382">
        <w:rPr>
          <w:rFonts w:ascii="Times New Roman" w:hAnsi="Times New Roman" w:cs="Times New Roman"/>
          <w:sz w:val="24"/>
          <w:szCs w:val="24"/>
        </w:rPr>
        <w:t xml:space="preserve">that </w:t>
      </w:r>
      <w:r w:rsidR="00BD2382">
        <w:rPr>
          <w:rFonts w:ascii="Times New Roman" w:hAnsi="Times New Roman" w:cs="Times New Roman"/>
          <w:sz w:val="24"/>
          <w:szCs w:val="24"/>
        </w:rPr>
        <w:t xml:space="preserve">an approved </w:t>
      </w:r>
      <w:r w:rsidRPr="00BD2382">
        <w:rPr>
          <w:rFonts w:ascii="Times New Roman" w:hAnsi="Times New Roman" w:cs="Times New Roman"/>
          <w:sz w:val="24"/>
          <w:szCs w:val="24"/>
        </w:rPr>
        <w:t>code creates with respect to the national data protection laws of APEC member states.</w:t>
      </w:r>
      <w:r w:rsidR="00BD2382">
        <w:rPr>
          <w:rFonts w:ascii="Times New Roman" w:hAnsi="Times New Roman" w:cs="Times New Roman"/>
          <w:sz w:val="24"/>
          <w:szCs w:val="24"/>
        </w:rPr>
        <w:t xml:space="preserve">  Doing so will increase firms’ incentive to participate in the APEC CBPR system.</w:t>
      </w:r>
      <w:r w:rsidR="00C91B29">
        <w:rPr>
          <w:rStyle w:val="FootnoteReference"/>
          <w:rFonts w:ascii="Times New Roman" w:hAnsi="Times New Roman" w:cs="Times New Roman"/>
          <w:kern w:val="24"/>
          <w:sz w:val="24"/>
          <w:szCs w:val="24"/>
        </w:rPr>
        <w:footnoteReference w:id="171"/>
      </w:r>
    </w:p>
    <w:p w:rsidR="00C91B29" w:rsidRPr="00BD2382" w:rsidRDefault="00C91B29" w:rsidP="00C91B29">
      <w:pPr>
        <w:pStyle w:val="ListParagraph"/>
        <w:autoSpaceDE w:val="0"/>
        <w:autoSpaceDN w:val="0"/>
        <w:adjustRightInd w:val="0"/>
        <w:spacing w:after="0" w:line="240" w:lineRule="auto"/>
        <w:rPr>
          <w:rFonts w:ascii="Times New Roman" w:hAnsi="Times New Roman" w:cs="Times New Roman"/>
          <w:kern w:val="24"/>
          <w:sz w:val="24"/>
          <w:szCs w:val="24"/>
        </w:rPr>
      </w:pPr>
    </w:p>
    <w:p w:rsidR="00E20180" w:rsidRDefault="00C91B29" w:rsidP="001610E3">
      <w:pPr>
        <w:autoSpaceDE w:val="0"/>
        <w:autoSpaceDN w:val="0"/>
        <w:adjustRightInd w:val="0"/>
        <w:spacing w:after="0" w:line="480" w:lineRule="auto"/>
        <w:ind w:firstLine="720"/>
        <w:rPr>
          <w:rFonts w:ascii="Times New Roman" w:hAnsi="Times New Roman" w:cs="Times New Roman"/>
          <w:kern w:val="24"/>
          <w:sz w:val="24"/>
          <w:szCs w:val="24"/>
        </w:rPr>
      </w:pPr>
      <w:r>
        <w:rPr>
          <w:rFonts w:ascii="Times New Roman" w:hAnsi="Times New Roman" w:cs="Times New Roman"/>
          <w:kern w:val="24"/>
          <w:sz w:val="24"/>
          <w:szCs w:val="24"/>
        </w:rPr>
        <w:t xml:space="preserve">Government adoption of </w:t>
      </w:r>
      <w:r w:rsidR="00EA3E54">
        <w:rPr>
          <w:rFonts w:ascii="Times New Roman" w:hAnsi="Times New Roman" w:cs="Times New Roman"/>
          <w:kern w:val="24"/>
          <w:sz w:val="24"/>
          <w:szCs w:val="24"/>
        </w:rPr>
        <w:t>these recommendations</w:t>
      </w:r>
      <w:r>
        <w:rPr>
          <w:rFonts w:ascii="Times New Roman" w:hAnsi="Times New Roman" w:cs="Times New Roman"/>
          <w:kern w:val="24"/>
          <w:sz w:val="24"/>
          <w:szCs w:val="24"/>
        </w:rPr>
        <w:t xml:space="preserve"> </w:t>
      </w:r>
      <w:r w:rsidR="001B65BF">
        <w:rPr>
          <w:rFonts w:ascii="Times New Roman" w:hAnsi="Times New Roman" w:cs="Times New Roman"/>
          <w:kern w:val="24"/>
          <w:sz w:val="24"/>
          <w:szCs w:val="24"/>
        </w:rPr>
        <w:t xml:space="preserve">would </w:t>
      </w:r>
      <w:r w:rsidR="00EA3E54">
        <w:rPr>
          <w:rFonts w:ascii="Times New Roman" w:hAnsi="Times New Roman" w:cs="Times New Roman"/>
          <w:kern w:val="24"/>
          <w:sz w:val="24"/>
          <w:szCs w:val="24"/>
        </w:rPr>
        <w:t xml:space="preserve">establish a workable system of cross-border privacy rules to govern data flows across all </w:t>
      </w:r>
      <w:r w:rsidR="001C6D99">
        <w:rPr>
          <w:rFonts w:ascii="Times New Roman" w:hAnsi="Times New Roman" w:cs="Times New Roman"/>
          <w:kern w:val="24"/>
          <w:sz w:val="24"/>
          <w:szCs w:val="24"/>
        </w:rPr>
        <w:t xml:space="preserve">E.U. </w:t>
      </w:r>
      <w:r w:rsidR="00EA3E54">
        <w:rPr>
          <w:rFonts w:ascii="Times New Roman" w:hAnsi="Times New Roman" w:cs="Times New Roman"/>
          <w:kern w:val="24"/>
          <w:sz w:val="24"/>
          <w:szCs w:val="24"/>
        </w:rPr>
        <w:t>and APEC member states.</w:t>
      </w:r>
      <w:r w:rsidR="00BD2382">
        <w:rPr>
          <w:rFonts w:ascii="Times New Roman" w:hAnsi="Times New Roman" w:cs="Times New Roman"/>
          <w:kern w:val="24"/>
          <w:sz w:val="24"/>
          <w:szCs w:val="24"/>
        </w:rPr>
        <w:t xml:space="preserve"> </w:t>
      </w:r>
      <w:r w:rsidR="001B65BF">
        <w:rPr>
          <w:rFonts w:ascii="Times New Roman" w:hAnsi="Times New Roman" w:cs="Times New Roman"/>
          <w:kern w:val="24"/>
          <w:sz w:val="24"/>
          <w:szCs w:val="24"/>
        </w:rPr>
        <w:t>Such a system would incorp</w:t>
      </w:r>
      <w:r>
        <w:rPr>
          <w:rFonts w:ascii="Times New Roman" w:hAnsi="Times New Roman" w:cs="Times New Roman"/>
          <w:kern w:val="24"/>
          <w:sz w:val="24"/>
          <w:szCs w:val="24"/>
        </w:rPr>
        <w:t>orate the 28</w:t>
      </w:r>
      <w:r w:rsidR="001B65BF">
        <w:rPr>
          <w:rFonts w:ascii="Times New Roman" w:hAnsi="Times New Roman" w:cs="Times New Roman"/>
          <w:kern w:val="24"/>
          <w:sz w:val="24"/>
          <w:szCs w:val="24"/>
        </w:rPr>
        <w:t xml:space="preserve"> </w:t>
      </w:r>
      <w:r w:rsidR="001C6D99">
        <w:rPr>
          <w:rFonts w:ascii="Times New Roman" w:hAnsi="Times New Roman" w:cs="Times New Roman"/>
          <w:kern w:val="24"/>
          <w:sz w:val="24"/>
          <w:szCs w:val="24"/>
        </w:rPr>
        <w:t xml:space="preserve">E.U. </w:t>
      </w:r>
      <w:r w:rsidR="001B65BF">
        <w:rPr>
          <w:rFonts w:ascii="Times New Roman" w:hAnsi="Times New Roman" w:cs="Times New Roman"/>
          <w:kern w:val="24"/>
          <w:sz w:val="24"/>
          <w:szCs w:val="24"/>
        </w:rPr>
        <w:t>member nations</w:t>
      </w:r>
      <w:r w:rsidR="00EA3E54">
        <w:rPr>
          <w:rFonts w:ascii="Times New Roman" w:hAnsi="Times New Roman" w:cs="Times New Roman"/>
          <w:kern w:val="24"/>
          <w:sz w:val="24"/>
          <w:szCs w:val="24"/>
        </w:rPr>
        <w:t>, as well as the United States, Canada, Japan, China</w:t>
      </w:r>
      <w:r w:rsidR="001B65BF">
        <w:rPr>
          <w:rFonts w:ascii="Times New Roman" w:hAnsi="Times New Roman" w:cs="Times New Roman"/>
          <w:kern w:val="24"/>
          <w:sz w:val="24"/>
          <w:szCs w:val="24"/>
        </w:rPr>
        <w:t xml:space="preserve"> and other APEC countries</w:t>
      </w:r>
      <w:r w:rsidR="00EA3E54">
        <w:rPr>
          <w:rFonts w:ascii="Times New Roman" w:hAnsi="Times New Roman" w:cs="Times New Roman"/>
          <w:kern w:val="24"/>
          <w:sz w:val="24"/>
          <w:szCs w:val="24"/>
        </w:rPr>
        <w:t xml:space="preserve">.  </w:t>
      </w:r>
      <w:r w:rsidR="001B65BF" w:rsidRPr="002940C3">
        <w:rPr>
          <w:rFonts w:ascii="Times New Roman" w:hAnsi="Times New Roman" w:cs="Times New Roman"/>
          <w:kern w:val="24"/>
          <w:sz w:val="24"/>
          <w:szCs w:val="24"/>
        </w:rPr>
        <w:t xml:space="preserve">Taken together, these steps </w:t>
      </w:r>
      <w:r>
        <w:rPr>
          <w:rFonts w:ascii="Times New Roman" w:hAnsi="Times New Roman" w:cs="Times New Roman"/>
          <w:kern w:val="24"/>
          <w:sz w:val="24"/>
          <w:szCs w:val="24"/>
        </w:rPr>
        <w:t xml:space="preserve">would </w:t>
      </w:r>
      <w:r w:rsidR="00783E41" w:rsidRPr="002940C3">
        <w:rPr>
          <w:rFonts w:ascii="Times New Roman" w:hAnsi="Times New Roman" w:cs="Times New Roman"/>
          <w:kern w:val="24"/>
          <w:sz w:val="24"/>
          <w:szCs w:val="24"/>
        </w:rPr>
        <w:t>b</w:t>
      </w:r>
      <w:r w:rsidR="001B65BF" w:rsidRPr="002940C3">
        <w:rPr>
          <w:rFonts w:ascii="Times New Roman" w:hAnsi="Times New Roman" w:cs="Times New Roman"/>
          <w:kern w:val="24"/>
          <w:sz w:val="24"/>
          <w:szCs w:val="24"/>
        </w:rPr>
        <w:t>ring us closer to that</w:t>
      </w:r>
      <w:r w:rsidR="00B91F24" w:rsidRPr="002940C3">
        <w:rPr>
          <w:rFonts w:ascii="Times New Roman" w:hAnsi="Times New Roman" w:cs="Times New Roman"/>
          <w:kern w:val="24"/>
          <w:sz w:val="24"/>
          <w:szCs w:val="24"/>
        </w:rPr>
        <w:t xml:space="preserve"> Holy Grail of </w:t>
      </w:r>
      <w:r w:rsidR="003570B4">
        <w:rPr>
          <w:rFonts w:ascii="Times New Roman" w:hAnsi="Times New Roman" w:cs="Times New Roman"/>
          <w:kern w:val="24"/>
          <w:sz w:val="24"/>
          <w:szCs w:val="24"/>
        </w:rPr>
        <w:t xml:space="preserve">contemporary </w:t>
      </w:r>
      <w:r w:rsidR="001B65BF" w:rsidRPr="002940C3">
        <w:rPr>
          <w:rFonts w:ascii="Times New Roman" w:hAnsi="Times New Roman" w:cs="Times New Roman"/>
          <w:kern w:val="24"/>
          <w:sz w:val="24"/>
          <w:szCs w:val="24"/>
        </w:rPr>
        <w:t xml:space="preserve">privacy law: </w:t>
      </w:r>
      <w:r w:rsidR="00B91F24" w:rsidRPr="002940C3">
        <w:rPr>
          <w:rFonts w:ascii="Times New Roman" w:hAnsi="Times New Roman" w:cs="Times New Roman"/>
          <w:kern w:val="24"/>
          <w:sz w:val="24"/>
          <w:szCs w:val="24"/>
        </w:rPr>
        <w:t>global privacy rules.</w:t>
      </w:r>
    </w:p>
    <w:p w:rsidR="00E20180" w:rsidRDefault="00E20180">
      <w:pPr>
        <w:rPr>
          <w:rFonts w:ascii="Times New Roman" w:hAnsi="Times New Roman" w:cs="Times New Roman"/>
          <w:kern w:val="24"/>
          <w:sz w:val="24"/>
          <w:szCs w:val="24"/>
        </w:rPr>
      </w:pPr>
      <w:r>
        <w:rPr>
          <w:rFonts w:ascii="Times New Roman" w:hAnsi="Times New Roman" w:cs="Times New Roman"/>
          <w:kern w:val="24"/>
          <w:sz w:val="24"/>
          <w:szCs w:val="24"/>
        </w:rPr>
        <w:br w:type="page"/>
      </w:r>
    </w:p>
    <w:p w:rsidR="00342A2D" w:rsidRDefault="00F250A0" w:rsidP="001610E3">
      <w:pPr>
        <w:autoSpaceDE w:val="0"/>
        <w:autoSpaceDN w:val="0"/>
        <w:adjustRightInd w:val="0"/>
        <w:spacing w:after="0" w:line="480" w:lineRule="auto"/>
        <w:ind w:firstLine="720"/>
        <w:rPr>
          <w:rFonts w:ascii="Times New Roman" w:hAnsi="Times New Roman" w:cs="Times New Roman"/>
          <w:kern w:val="24"/>
          <w:sz w:val="24"/>
          <w:szCs w:val="24"/>
        </w:rPr>
      </w:pPr>
      <w:r w:rsidRPr="002940C3">
        <w:rPr>
          <w:rFonts w:ascii="Times New Roman" w:hAnsi="Times New Roman" w:cs="Times New Roman"/>
          <w:kern w:val="24"/>
          <w:sz w:val="24"/>
          <w:szCs w:val="24"/>
        </w:rPr>
        <w:lastRenderedPageBreak/>
        <w:t xml:space="preserve"> </w:t>
      </w:r>
    </w:p>
    <w:sectPr w:rsidR="00342A2D" w:rsidSect="003D5AD3">
      <w:footerReference w:type="default" r:id="rId10"/>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51" w:rsidRDefault="00917D51" w:rsidP="00322186">
      <w:pPr>
        <w:spacing w:after="0" w:line="240" w:lineRule="auto"/>
      </w:pPr>
      <w:r>
        <w:separator/>
      </w:r>
    </w:p>
  </w:endnote>
  <w:endnote w:type="continuationSeparator" w:id="0">
    <w:p w:rsidR="00917D51" w:rsidRDefault="00917D51" w:rsidP="00322186">
      <w:pPr>
        <w:spacing w:after="0" w:line="240" w:lineRule="auto"/>
      </w:pPr>
      <w:r>
        <w:continuationSeparator/>
      </w:r>
    </w:p>
  </w:endnote>
  <w:endnote w:id="1">
    <w:p w:rsidR="00687521" w:rsidRPr="00687521" w:rsidRDefault="005C07E3" w:rsidP="00E20180">
      <w:pPr>
        <w:pStyle w:val="EndnoteText"/>
        <w:rPr>
          <w:b/>
        </w:rPr>
      </w:pPr>
      <w:r>
        <w:rPr>
          <w:b/>
        </w:rPr>
        <w:t xml:space="preserve">TABLE ENDNOTES </w:t>
      </w:r>
      <w:r w:rsidRPr="00EB1F04">
        <w:t>(to be reformatted in final version):</w:t>
      </w:r>
    </w:p>
    <w:p w:rsidR="00E20180" w:rsidRDefault="00E20180" w:rsidP="00E20180">
      <w:pPr>
        <w:pStyle w:val="EndnoteText"/>
      </w:pPr>
      <w:r>
        <w:rPr>
          <w:rStyle w:val="EndnoteReference"/>
        </w:rPr>
        <w:endnoteRef/>
      </w:r>
      <w:r>
        <w:t xml:space="preserve"> Directive 95/46/EC, of the European Parliament and of the Council of 24 October 1995 on the Protection of Individuals with Regard to the Processing of Personal Data and the Free Movement of Such Data, 1995 </w:t>
      </w:r>
      <w:r>
        <w:rPr>
          <w:smallCaps/>
        </w:rPr>
        <w:t xml:space="preserve">O.J. </w:t>
      </w:r>
      <w:r>
        <w:t>(L281) 31, [hereinafter “1995 Directive”].</w:t>
      </w:r>
    </w:p>
  </w:endnote>
  <w:endnote w:id="2">
    <w:p w:rsidR="00E20180" w:rsidRDefault="00E20180" w:rsidP="00E20180">
      <w:pPr>
        <w:pStyle w:val="EndnoteText"/>
      </w:pPr>
      <w:r>
        <w:rPr>
          <w:rStyle w:val="EndnoteReference"/>
        </w:rPr>
        <w:endnoteRef/>
      </w:r>
      <w:r>
        <w:t xml:space="preserve"> European Commission, Proposal for a Regulation of the European Parliament and of the Council on the Protection of Individuals with Regard to the Processing of Personal Data and on the Free Movement of Such Data (General Data Protection Regulation) (Jan. 25, 2012) [hereinafter “proposed General Regulation”].</w:t>
      </w:r>
    </w:p>
  </w:endnote>
  <w:endnote w:id="3">
    <w:p w:rsidR="00E20180" w:rsidRDefault="00E20180" w:rsidP="00E20180">
      <w:pPr>
        <w:pStyle w:val="EndnoteText"/>
      </w:pPr>
      <w:r>
        <w:rPr>
          <w:rStyle w:val="EndnoteReference"/>
        </w:rPr>
        <w:endnoteRef/>
      </w:r>
      <w:r>
        <w:t xml:space="preserve"> </w:t>
      </w:r>
      <w:proofErr w:type="gramStart"/>
      <w:r>
        <w:t>Asia-Pacific Economic Cooperation, APEC Privacy Framework (2005).</w:t>
      </w:r>
      <w:proofErr w:type="gramEnd"/>
    </w:p>
  </w:endnote>
  <w:endnote w:id="4">
    <w:p w:rsidR="00E20180" w:rsidRPr="0005740D" w:rsidRDefault="00E20180" w:rsidP="00E20180">
      <w:pPr>
        <w:autoSpaceDE w:val="0"/>
        <w:autoSpaceDN w:val="0"/>
        <w:adjustRightInd w:val="0"/>
        <w:spacing w:after="0" w:line="240" w:lineRule="auto"/>
        <w:rPr>
          <w:rFonts w:ascii="TimesNewRomanPSMT" w:hAnsi="TimesNewRomanPSMT" w:cs="TimesNewRomanPSMT"/>
          <w:sz w:val="15"/>
          <w:szCs w:val="15"/>
        </w:rPr>
      </w:pPr>
      <w:r>
        <w:rPr>
          <w:rStyle w:val="EndnoteReference"/>
        </w:rPr>
        <w:endnoteRef/>
      </w:r>
      <w:r>
        <w:t xml:space="preserve"> </w:t>
      </w:r>
      <w:r w:rsidRPr="0005740D">
        <w:rPr>
          <w:rFonts w:cs="TimesNewRomanPSMT"/>
          <w:sz w:val="20"/>
          <w:szCs w:val="20"/>
        </w:rPr>
        <w:t>Commercial Privacy Bill of Rights Act of 2011, S. 799, 112th Cong. (2011) [hereinafter Kerry-McCain Bill].</w:t>
      </w:r>
    </w:p>
  </w:endnote>
  <w:endnote w:id="5">
    <w:p w:rsidR="00E20180" w:rsidRDefault="00E20180" w:rsidP="00E20180">
      <w:pPr>
        <w:pStyle w:val="EndnoteText"/>
      </w:pPr>
      <w:r>
        <w:rPr>
          <w:rStyle w:val="EndnoteReference"/>
        </w:rPr>
        <w:endnoteRef/>
      </w:r>
      <w:r>
        <w:t xml:space="preserve"> </w:t>
      </w:r>
      <w:proofErr w:type="gramStart"/>
      <w:r>
        <w:t>1995 Directive arts.</w:t>
      </w:r>
      <w:proofErr w:type="gramEnd"/>
      <w:r>
        <w:t xml:space="preserve"> </w:t>
      </w:r>
      <w:proofErr w:type="gramStart"/>
      <w:r>
        <w:t>10, 18, 19, 21.</w:t>
      </w:r>
      <w:proofErr w:type="gramEnd"/>
    </w:p>
  </w:endnote>
  <w:endnote w:id="6">
    <w:p w:rsidR="00E20180" w:rsidRDefault="00E20180" w:rsidP="00E20180">
      <w:pPr>
        <w:pStyle w:val="EndnoteText"/>
      </w:pPr>
      <w:r>
        <w:rPr>
          <w:rStyle w:val="EndnoteReference"/>
        </w:rPr>
        <w:endnoteRef/>
      </w:r>
      <w:r>
        <w:t xml:space="preserve"> </w:t>
      </w:r>
      <w:proofErr w:type="gramStart"/>
      <w:r>
        <w:t>Proposed General Regulation arts.</w:t>
      </w:r>
      <w:proofErr w:type="gramEnd"/>
      <w:r>
        <w:t xml:space="preserve"> </w:t>
      </w:r>
      <w:proofErr w:type="gramStart"/>
      <w:r>
        <w:t>5(a), 11.</w:t>
      </w:r>
      <w:proofErr w:type="gramEnd"/>
    </w:p>
  </w:endnote>
  <w:endnote w:id="7">
    <w:p w:rsidR="00E20180" w:rsidRDefault="00E20180" w:rsidP="00E20180">
      <w:pPr>
        <w:pStyle w:val="EndnoteText"/>
      </w:pPr>
      <w:r>
        <w:rPr>
          <w:rStyle w:val="EndnoteReference"/>
        </w:rPr>
        <w:endnoteRef/>
      </w:r>
      <w:r>
        <w:t xml:space="preserve"> APEC Framework ¶¶ 15-17.</w:t>
      </w:r>
    </w:p>
  </w:endnote>
  <w:endnote w:id="8">
    <w:p w:rsidR="00E20180" w:rsidRDefault="00E20180" w:rsidP="00E20180">
      <w:pPr>
        <w:pStyle w:val="EndnoteText"/>
      </w:pPr>
      <w:r>
        <w:rPr>
          <w:rStyle w:val="EndnoteReference"/>
        </w:rPr>
        <w:endnoteRef/>
      </w:r>
      <w:r>
        <w:t xml:space="preserve"> </w:t>
      </w:r>
      <w:proofErr w:type="gramStart"/>
      <w:r>
        <w:t>Kerry-McCain Bill § 201.</w:t>
      </w:r>
      <w:proofErr w:type="gramEnd"/>
    </w:p>
  </w:endnote>
  <w:endnote w:id="9">
    <w:p w:rsidR="00E20180" w:rsidRDefault="00E20180" w:rsidP="00E20180">
      <w:pPr>
        <w:pStyle w:val="EndnoteText"/>
      </w:pPr>
      <w:r>
        <w:rPr>
          <w:rStyle w:val="EndnoteReference"/>
        </w:rPr>
        <w:endnoteRef/>
      </w:r>
      <w:r>
        <w:t xml:space="preserve"> </w:t>
      </w:r>
      <w:proofErr w:type="gramStart"/>
      <w:r>
        <w:t>1995 Directive art.</w:t>
      </w:r>
      <w:proofErr w:type="gramEnd"/>
      <w:r>
        <w:t xml:space="preserve"> (</w:t>
      </w:r>
      <w:proofErr w:type="gramStart"/>
      <w:r>
        <w:t>consent</w:t>
      </w:r>
      <w:proofErr w:type="gramEnd"/>
      <w:r>
        <w:t xml:space="preserve"> as general basis for legitimacy); 8(2) (“explicit” consent to processing of sensitive data).</w:t>
      </w:r>
    </w:p>
  </w:endnote>
  <w:endnote w:id="10">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6(a).</w:t>
      </w:r>
      <w:proofErr w:type="gramEnd"/>
    </w:p>
  </w:endnote>
  <w:endnote w:id="11">
    <w:p w:rsidR="00E20180" w:rsidRDefault="00E20180" w:rsidP="00E20180">
      <w:pPr>
        <w:pStyle w:val="EndnoteText"/>
      </w:pPr>
      <w:r>
        <w:rPr>
          <w:rStyle w:val="EndnoteReference"/>
        </w:rPr>
        <w:endnoteRef/>
      </w:r>
      <w:r>
        <w:t xml:space="preserve"> </w:t>
      </w:r>
      <w:proofErr w:type="gramStart"/>
      <w:r>
        <w:t>APEC Framework ¶ 20.</w:t>
      </w:r>
      <w:proofErr w:type="gramEnd"/>
    </w:p>
  </w:endnote>
  <w:endnote w:id="12">
    <w:p w:rsidR="00E20180" w:rsidRDefault="00E20180" w:rsidP="00E20180">
      <w:pPr>
        <w:pStyle w:val="EndnoteText"/>
      </w:pPr>
      <w:r>
        <w:rPr>
          <w:rStyle w:val="EndnoteReference"/>
        </w:rPr>
        <w:endnoteRef/>
      </w:r>
      <w:r>
        <w:t xml:space="preserve"> Kerry-McCain Bill § 202(a</w:t>
      </w:r>
      <w:proofErr w:type="gramStart"/>
      <w:r>
        <w:t>)(</w:t>
      </w:r>
      <w:proofErr w:type="gramEnd"/>
      <w:r>
        <w:t>1)-(3).</w:t>
      </w:r>
    </w:p>
  </w:endnote>
  <w:endnote w:id="13">
    <w:p w:rsidR="00E20180" w:rsidRDefault="00E20180" w:rsidP="00E20180">
      <w:pPr>
        <w:pStyle w:val="EndnoteText"/>
      </w:pPr>
      <w:r>
        <w:rPr>
          <w:rStyle w:val="EndnoteReference"/>
        </w:rPr>
        <w:endnoteRef/>
      </w:r>
      <w:r>
        <w:t xml:space="preserve"> </w:t>
      </w:r>
      <w:proofErr w:type="gramStart"/>
      <w:r>
        <w:t>1995 Directive art.</w:t>
      </w:r>
      <w:proofErr w:type="gramEnd"/>
      <w:r>
        <w:t xml:space="preserve"> </w:t>
      </w:r>
      <w:proofErr w:type="gramStart"/>
      <w:r>
        <w:t>7(b)-(f) (providing legitimate bases for processing other than the data subject’s consent to such processing).</w:t>
      </w:r>
      <w:proofErr w:type="gramEnd"/>
    </w:p>
  </w:endnote>
  <w:endnote w:id="14">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6(b)-(f).</w:t>
      </w:r>
      <w:proofErr w:type="gramEnd"/>
    </w:p>
  </w:endnote>
  <w:endnote w:id="15">
    <w:p w:rsidR="00E20180" w:rsidRDefault="00E20180" w:rsidP="00E20180">
      <w:pPr>
        <w:pStyle w:val="EndnoteText"/>
      </w:pPr>
      <w:r>
        <w:rPr>
          <w:rStyle w:val="EndnoteReference"/>
        </w:rPr>
        <w:endnoteRef/>
      </w:r>
      <w:r>
        <w:t xml:space="preserve"> </w:t>
      </w:r>
      <w:proofErr w:type="gramStart"/>
      <w:r>
        <w:t>APEC Framework ¶ 19.</w:t>
      </w:r>
      <w:proofErr w:type="gramEnd"/>
    </w:p>
  </w:endnote>
  <w:endnote w:id="16">
    <w:p w:rsidR="00E20180" w:rsidRDefault="00E20180" w:rsidP="00E20180">
      <w:pPr>
        <w:pStyle w:val="EndnoteText"/>
      </w:pPr>
      <w:r>
        <w:rPr>
          <w:rStyle w:val="EndnoteReference"/>
        </w:rPr>
        <w:endnoteRef/>
      </w:r>
      <w:r>
        <w:t xml:space="preserve"> Kerry-McCain Bill § 202(a</w:t>
      </w:r>
      <w:proofErr w:type="gramStart"/>
      <w:r>
        <w:t>)(</w:t>
      </w:r>
      <w:proofErr w:type="gramEnd"/>
      <w:r>
        <w:t>3)(A).</w:t>
      </w:r>
    </w:p>
  </w:endnote>
  <w:endnote w:id="17">
    <w:p w:rsidR="00E20180" w:rsidRDefault="00E20180" w:rsidP="00E20180">
      <w:pPr>
        <w:pStyle w:val="EndnoteText"/>
      </w:pPr>
      <w:r>
        <w:rPr>
          <w:rStyle w:val="EndnoteReference"/>
        </w:rPr>
        <w:endnoteRef/>
      </w:r>
      <w:r>
        <w:t xml:space="preserve"> </w:t>
      </w:r>
      <w:proofErr w:type="gramStart"/>
      <w:r>
        <w:t>1995 Directive art.</w:t>
      </w:r>
      <w:proofErr w:type="gramEnd"/>
      <w:r>
        <w:t xml:space="preserve"> 17 (“appropriate technical and organizational measures”).</w:t>
      </w:r>
    </w:p>
  </w:endnote>
  <w:endnote w:id="18">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30.</w:t>
      </w:r>
    </w:p>
  </w:endnote>
  <w:endnote w:id="19">
    <w:p w:rsidR="00E20180" w:rsidRDefault="00E20180" w:rsidP="00E20180">
      <w:pPr>
        <w:pStyle w:val="EndnoteText"/>
      </w:pPr>
      <w:r>
        <w:rPr>
          <w:rStyle w:val="EndnoteReference"/>
        </w:rPr>
        <w:endnoteRef/>
      </w:r>
      <w:r>
        <w:t xml:space="preserve"> </w:t>
      </w:r>
      <w:proofErr w:type="gramStart"/>
      <w:r>
        <w:t>APEC Framework ¶ 22.</w:t>
      </w:r>
      <w:proofErr w:type="gramEnd"/>
    </w:p>
  </w:endnote>
  <w:endnote w:id="20">
    <w:p w:rsidR="00E20180" w:rsidRDefault="00E20180" w:rsidP="00E20180">
      <w:pPr>
        <w:pStyle w:val="EndnoteText"/>
      </w:pPr>
      <w:r>
        <w:rPr>
          <w:rStyle w:val="EndnoteReference"/>
        </w:rPr>
        <w:endnoteRef/>
      </w:r>
      <w:r>
        <w:t xml:space="preserve"> </w:t>
      </w:r>
      <w:proofErr w:type="gramStart"/>
      <w:r>
        <w:t>Kerry-McCain Bill §101.</w:t>
      </w:r>
      <w:proofErr w:type="gramEnd"/>
    </w:p>
  </w:endnote>
  <w:endnote w:id="21">
    <w:p w:rsidR="00E20180" w:rsidRDefault="00E20180" w:rsidP="00E20180">
      <w:pPr>
        <w:pStyle w:val="EndnoteText"/>
      </w:pPr>
      <w:r>
        <w:rPr>
          <w:rStyle w:val="EndnoteReference"/>
        </w:rPr>
        <w:endnoteRef/>
      </w:r>
      <w:r>
        <w:t xml:space="preserve"> </w:t>
      </w:r>
      <w:proofErr w:type="gramStart"/>
      <w:r>
        <w:t>1995 Directive art.</w:t>
      </w:r>
      <w:proofErr w:type="gramEnd"/>
      <w:r>
        <w:t xml:space="preserve"> 6(1</w:t>
      </w:r>
      <w:proofErr w:type="gramStart"/>
      <w:r>
        <w:t>)(</w:t>
      </w:r>
      <w:proofErr w:type="gramEnd"/>
      <w:r>
        <w:t>d).</w:t>
      </w:r>
    </w:p>
  </w:endnote>
  <w:endnote w:id="22">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5(d).</w:t>
      </w:r>
      <w:proofErr w:type="gramEnd"/>
    </w:p>
  </w:endnote>
  <w:endnote w:id="23">
    <w:p w:rsidR="00E20180" w:rsidRDefault="00E20180" w:rsidP="00E20180">
      <w:pPr>
        <w:pStyle w:val="EndnoteText"/>
      </w:pPr>
      <w:r>
        <w:rPr>
          <w:rStyle w:val="EndnoteReference"/>
        </w:rPr>
        <w:endnoteRef/>
      </w:r>
      <w:r>
        <w:t xml:space="preserve"> </w:t>
      </w:r>
      <w:proofErr w:type="gramStart"/>
      <w:r>
        <w:t>APEC Framework ¶ 21.</w:t>
      </w:r>
      <w:proofErr w:type="gramEnd"/>
    </w:p>
  </w:endnote>
  <w:endnote w:id="24">
    <w:p w:rsidR="00E20180" w:rsidRDefault="00E20180" w:rsidP="00E20180">
      <w:pPr>
        <w:pStyle w:val="EndnoteText"/>
      </w:pPr>
      <w:r>
        <w:rPr>
          <w:rStyle w:val="EndnoteReference"/>
        </w:rPr>
        <w:endnoteRef/>
      </w:r>
      <w:r>
        <w:t xml:space="preserve"> </w:t>
      </w:r>
      <w:proofErr w:type="gramStart"/>
      <w:r>
        <w:t>Kerry-McCain Bill § 303.</w:t>
      </w:r>
      <w:proofErr w:type="gramEnd"/>
    </w:p>
  </w:endnote>
  <w:endnote w:id="25">
    <w:p w:rsidR="00E20180" w:rsidRDefault="00E20180" w:rsidP="00E20180">
      <w:pPr>
        <w:pStyle w:val="EndnoteText"/>
      </w:pPr>
      <w:r>
        <w:rPr>
          <w:rStyle w:val="EndnoteReference"/>
        </w:rPr>
        <w:endnoteRef/>
      </w:r>
      <w:r>
        <w:t xml:space="preserve"> </w:t>
      </w:r>
      <w:proofErr w:type="gramStart"/>
      <w:r>
        <w:t>1995 Directive art.</w:t>
      </w:r>
      <w:proofErr w:type="gramEnd"/>
      <w:r>
        <w:t xml:space="preserve"> </w:t>
      </w:r>
      <w:proofErr w:type="gramStart"/>
      <w:r>
        <w:t>12(a).</w:t>
      </w:r>
      <w:proofErr w:type="gramEnd"/>
      <w:r>
        <w:t xml:space="preserve"> </w:t>
      </w:r>
    </w:p>
  </w:endnote>
  <w:endnote w:id="26">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15.</w:t>
      </w:r>
    </w:p>
  </w:endnote>
  <w:endnote w:id="27">
    <w:p w:rsidR="00E20180" w:rsidRDefault="00E20180" w:rsidP="00E20180">
      <w:pPr>
        <w:pStyle w:val="EndnoteText"/>
      </w:pPr>
      <w:r>
        <w:rPr>
          <w:rStyle w:val="EndnoteReference"/>
        </w:rPr>
        <w:endnoteRef/>
      </w:r>
      <w:r>
        <w:t xml:space="preserve"> APEC Framework ¶¶ 23-25.</w:t>
      </w:r>
    </w:p>
  </w:endnote>
  <w:endnote w:id="28">
    <w:p w:rsidR="00E20180" w:rsidRDefault="00E20180" w:rsidP="00E20180">
      <w:pPr>
        <w:pStyle w:val="EndnoteText"/>
      </w:pPr>
      <w:r>
        <w:rPr>
          <w:rStyle w:val="EndnoteReference"/>
        </w:rPr>
        <w:endnoteRef/>
      </w:r>
      <w:r>
        <w:t xml:space="preserve"> Kerry-McCain Bill § 202(a</w:t>
      </w:r>
      <w:proofErr w:type="gramStart"/>
      <w:r>
        <w:t>)(</w:t>
      </w:r>
      <w:proofErr w:type="gramEnd"/>
      <w:r>
        <w:t>4).</w:t>
      </w:r>
    </w:p>
  </w:endnote>
  <w:endnote w:id="29">
    <w:p w:rsidR="00E20180" w:rsidRDefault="00E20180" w:rsidP="00E20180">
      <w:pPr>
        <w:pStyle w:val="EndnoteText"/>
      </w:pPr>
      <w:r>
        <w:rPr>
          <w:rStyle w:val="EndnoteReference"/>
        </w:rPr>
        <w:endnoteRef/>
      </w:r>
      <w:r>
        <w:t xml:space="preserve"> </w:t>
      </w:r>
      <w:proofErr w:type="gramStart"/>
      <w:r>
        <w:t>1995 Directive art.</w:t>
      </w:r>
      <w:proofErr w:type="gramEnd"/>
      <w:r>
        <w:t xml:space="preserve"> </w:t>
      </w:r>
      <w:proofErr w:type="gramStart"/>
      <w:r>
        <w:t>12(b).</w:t>
      </w:r>
      <w:proofErr w:type="gramEnd"/>
    </w:p>
  </w:endnote>
  <w:endnote w:id="30">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16.</w:t>
      </w:r>
    </w:p>
  </w:endnote>
  <w:endnote w:id="31">
    <w:p w:rsidR="00E20180" w:rsidRDefault="00E20180" w:rsidP="00E20180">
      <w:pPr>
        <w:pStyle w:val="EndnoteText"/>
      </w:pPr>
      <w:r>
        <w:rPr>
          <w:rStyle w:val="EndnoteReference"/>
        </w:rPr>
        <w:endnoteRef/>
      </w:r>
      <w:r>
        <w:t xml:space="preserve"> APEC Framework ¶¶ 23-25.</w:t>
      </w:r>
    </w:p>
  </w:endnote>
  <w:endnote w:id="32">
    <w:p w:rsidR="00E20180" w:rsidRDefault="00E20180" w:rsidP="00E20180">
      <w:pPr>
        <w:pStyle w:val="EndnoteText"/>
      </w:pPr>
      <w:r>
        <w:rPr>
          <w:rStyle w:val="EndnoteReference"/>
        </w:rPr>
        <w:endnoteRef/>
      </w:r>
      <w:r>
        <w:t xml:space="preserve"> Kerry-McCain Bill § 202(a</w:t>
      </w:r>
      <w:proofErr w:type="gramStart"/>
      <w:r>
        <w:t>)(</w:t>
      </w:r>
      <w:proofErr w:type="gramEnd"/>
      <w:r>
        <w:t>4).</w:t>
      </w:r>
    </w:p>
  </w:endnote>
  <w:endnote w:id="33">
    <w:p w:rsidR="00E20180" w:rsidRDefault="00E20180" w:rsidP="00E20180">
      <w:pPr>
        <w:pStyle w:val="EndnoteText"/>
      </w:pPr>
      <w:r>
        <w:rPr>
          <w:rStyle w:val="EndnoteReference"/>
        </w:rPr>
        <w:endnoteRef/>
      </w:r>
      <w:r>
        <w:t xml:space="preserve"> </w:t>
      </w:r>
      <w:proofErr w:type="gramStart"/>
      <w:r>
        <w:t>1995 Directive art.</w:t>
      </w:r>
      <w:proofErr w:type="gramEnd"/>
      <w:r>
        <w:t xml:space="preserve"> 6(1</w:t>
      </w:r>
      <w:proofErr w:type="gramStart"/>
      <w:r>
        <w:t>)(</w:t>
      </w:r>
      <w:proofErr w:type="gramEnd"/>
      <w:r>
        <w:t>b).</w:t>
      </w:r>
    </w:p>
  </w:endnote>
  <w:endnote w:id="34">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5(b).</w:t>
      </w:r>
      <w:proofErr w:type="gramEnd"/>
    </w:p>
  </w:endnote>
  <w:endnote w:id="35">
    <w:p w:rsidR="00E20180" w:rsidRDefault="00E20180" w:rsidP="00E20180">
      <w:pPr>
        <w:pStyle w:val="EndnoteText"/>
      </w:pPr>
      <w:r>
        <w:rPr>
          <w:rStyle w:val="EndnoteReference"/>
        </w:rPr>
        <w:endnoteRef/>
      </w:r>
      <w:r>
        <w:t xml:space="preserve"> </w:t>
      </w:r>
      <w:proofErr w:type="gramStart"/>
      <w:r>
        <w:t>APEC Framework ¶ 19.</w:t>
      </w:r>
      <w:proofErr w:type="gramEnd"/>
    </w:p>
  </w:endnote>
  <w:endnote w:id="36">
    <w:p w:rsidR="00E20180" w:rsidRDefault="00E20180" w:rsidP="00E20180">
      <w:pPr>
        <w:pStyle w:val="EndnoteText"/>
      </w:pPr>
      <w:r>
        <w:rPr>
          <w:rStyle w:val="EndnoteReference"/>
        </w:rPr>
        <w:endnoteRef/>
      </w:r>
      <w:r>
        <w:t xml:space="preserve"> </w:t>
      </w:r>
      <w:proofErr w:type="gramStart"/>
      <w:r>
        <w:t>Kerry-McCain Bill § 202(b), 302.</w:t>
      </w:r>
      <w:proofErr w:type="gramEnd"/>
    </w:p>
  </w:endnote>
  <w:endnote w:id="37">
    <w:p w:rsidR="00E20180" w:rsidRDefault="00E20180" w:rsidP="00E20180">
      <w:pPr>
        <w:pStyle w:val="EndnoteText"/>
      </w:pPr>
      <w:r>
        <w:rPr>
          <w:rStyle w:val="EndnoteReference"/>
        </w:rPr>
        <w:endnoteRef/>
      </w:r>
      <w:r>
        <w:t xml:space="preserve"> </w:t>
      </w:r>
      <w:proofErr w:type="gramStart"/>
      <w:r>
        <w:t>1995 Directive art.</w:t>
      </w:r>
      <w:proofErr w:type="gramEnd"/>
      <w:r>
        <w:t xml:space="preserve"> </w:t>
      </w:r>
      <w:proofErr w:type="gramStart"/>
      <w:r>
        <w:t>8(1).</w:t>
      </w:r>
      <w:proofErr w:type="gramEnd"/>
    </w:p>
  </w:endnote>
  <w:endnote w:id="38">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9.</w:t>
      </w:r>
    </w:p>
  </w:endnote>
  <w:endnote w:id="39">
    <w:p w:rsidR="00E20180" w:rsidRDefault="00E20180" w:rsidP="00E20180">
      <w:pPr>
        <w:pStyle w:val="EndnoteText"/>
      </w:pPr>
      <w:r>
        <w:rPr>
          <w:rStyle w:val="EndnoteReference"/>
        </w:rPr>
        <w:endnoteRef/>
      </w:r>
      <w:r>
        <w:t xml:space="preserve"> APEC Framework ¶ 14 (by requiring that privacy protections be proportionate to the threatened harm associated with the collection and use of the personal information in question, this provision implicitly differentiates between sensitive personal data (where the threat of harm is great) and other personal information.</w:t>
      </w:r>
    </w:p>
  </w:endnote>
  <w:endnote w:id="40">
    <w:p w:rsidR="00E20180" w:rsidRDefault="00E20180" w:rsidP="00E20180">
      <w:pPr>
        <w:pStyle w:val="EndnoteText"/>
      </w:pPr>
      <w:r>
        <w:rPr>
          <w:rStyle w:val="EndnoteReference"/>
        </w:rPr>
        <w:endnoteRef/>
      </w:r>
      <w:r>
        <w:t xml:space="preserve"> </w:t>
      </w:r>
      <w:proofErr w:type="gramStart"/>
      <w:r>
        <w:t>Kerry-McCain Bill § 202.</w:t>
      </w:r>
      <w:proofErr w:type="gramEnd"/>
    </w:p>
  </w:endnote>
  <w:endnote w:id="41">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22.</w:t>
      </w:r>
    </w:p>
  </w:endnote>
  <w:endnote w:id="42">
    <w:p w:rsidR="00E20180" w:rsidRDefault="00E20180" w:rsidP="00E20180">
      <w:pPr>
        <w:pStyle w:val="EndnoteText"/>
      </w:pPr>
      <w:r>
        <w:rPr>
          <w:rStyle w:val="EndnoteReference"/>
        </w:rPr>
        <w:endnoteRef/>
      </w:r>
      <w:r>
        <w:t xml:space="preserve"> </w:t>
      </w:r>
      <w:proofErr w:type="gramStart"/>
      <w:r>
        <w:t>APEC Framework ¶ 26.</w:t>
      </w:r>
      <w:proofErr w:type="gramEnd"/>
    </w:p>
  </w:endnote>
  <w:endnote w:id="43">
    <w:p w:rsidR="00E20180" w:rsidRDefault="00E20180" w:rsidP="00E20180">
      <w:pPr>
        <w:pStyle w:val="EndnoteText"/>
      </w:pPr>
      <w:r>
        <w:rPr>
          <w:rStyle w:val="EndnoteReference"/>
        </w:rPr>
        <w:endnoteRef/>
      </w:r>
      <w:r>
        <w:t xml:space="preserve"> </w:t>
      </w:r>
      <w:proofErr w:type="gramStart"/>
      <w:r>
        <w:t>Kerry-McCain Bill § 102.</w:t>
      </w:r>
      <w:proofErr w:type="gramEnd"/>
    </w:p>
  </w:endnote>
  <w:endnote w:id="44">
    <w:p w:rsidR="00E20180" w:rsidRDefault="00E20180" w:rsidP="00E20180">
      <w:pPr>
        <w:pStyle w:val="EndnoteText"/>
      </w:pPr>
      <w:r>
        <w:rPr>
          <w:rStyle w:val="EndnoteReference"/>
        </w:rPr>
        <w:endnoteRef/>
      </w:r>
      <w:r>
        <w:t xml:space="preserve"> </w:t>
      </w:r>
      <w:proofErr w:type="gramStart"/>
      <w:r>
        <w:t>1995 Directive art.</w:t>
      </w:r>
      <w:proofErr w:type="gramEnd"/>
      <w:r>
        <w:t xml:space="preserve"> 6(1</w:t>
      </w:r>
      <w:proofErr w:type="gramStart"/>
      <w:r>
        <w:t>)(</w:t>
      </w:r>
      <w:proofErr w:type="gramEnd"/>
      <w:r>
        <w:t>b).</w:t>
      </w:r>
    </w:p>
  </w:endnote>
  <w:endnote w:id="45">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5(b).</w:t>
      </w:r>
      <w:proofErr w:type="gramEnd"/>
    </w:p>
  </w:endnote>
  <w:endnote w:id="46">
    <w:p w:rsidR="00E20180" w:rsidRDefault="00E20180" w:rsidP="00E20180">
      <w:pPr>
        <w:pStyle w:val="EndnoteText"/>
      </w:pPr>
      <w:r>
        <w:rPr>
          <w:rStyle w:val="EndnoteReference"/>
        </w:rPr>
        <w:endnoteRef/>
      </w:r>
      <w:r>
        <w:t xml:space="preserve"> </w:t>
      </w:r>
      <w:proofErr w:type="gramStart"/>
      <w:r>
        <w:t>APEC Framework ¶ 18.</w:t>
      </w:r>
      <w:proofErr w:type="gramEnd"/>
    </w:p>
  </w:endnote>
  <w:endnote w:id="47">
    <w:p w:rsidR="00E20180" w:rsidRDefault="00E20180" w:rsidP="00E20180">
      <w:pPr>
        <w:pStyle w:val="EndnoteText"/>
      </w:pPr>
      <w:r>
        <w:rPr>
          <w:rStyle w:val="EndnoteReference"/>
        </w:rPr>
        <w:endnoteRef/>
      </w:r>
      <w:r>
        <w:t xml:space="preserve"> </w:t>
      </w:r>
      <w:proofErr w:type="gramStart"/>
      <w:r>
        <w:t>1995 Directive art.</w:t>
      </w:r>
      <w:proofErr w:type="gramEnd"/>
      <w:r>
        <w:t xml:space="preserve"> 6(1</w:t>
      </w:r>
      <w:proofErr w:type="gramStart"/>
      <w:r>
        <w:t>)(</w:t>
      </w:r>
      <w:proofErr w:type="gramEnd"/>
      <w:r>
        <w:t>c).</w:t>
      </w:r>
    </w:p>
  </w:endnote>
  <w:endnote w:id="48">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5(c).</w:t>
      </w:r>
      <w:proofErr w:type="gramEnd"/>
    </w:p>
  </w:endnote>
  <w:endnote w:id="49">
    <w:p w:rsidR="00E20180" w:rsidRDefault="00E20180" w:rsidP="00E20180">
      <w:pPr>
        <w:pStyle w:val="EndnoteText"/>
      </w:pPr>
      <w:r>
        <w:rPr>
          <w:rStyle w:val="EndnoteReference"/>
        </w:rPr>
        <w:endnoteRef/>
      </w:r>
      <w:r>
        <w:t xml:space="preserve"> </w:t>
      </w:r>
      <w:proofErr w:type="gramStart"/>
      <w:r>
        <w:t>Kerry-McCain Bill § 301.</w:t>
      </w:r>
      <w:proofErr w:type="gramEnd"/>
    </w:p>
  </w:endnote>
  <w:endnote w:id="50">
    <w:p w:rsidR="00E20180" w:rsidRDefault="00E20180" w:rsidP="00E20180">
      <w:pPr>
        <w:pStyle w:val="EndnoteText"/>
      </w:pPr>
      <w:r>
        <w:rPr>
          <w:rStyle w:val="EndnoteReference"/>
        </w:rPr>
        <w:endnoteRef/>
      </w:r>
      <w:r>
        <w:t xml:space="preserve"> </w:t>
      </w:r>
      <w:proofErr w:type="gramStart"/>
      <w:r>
        <w:t>1995 Directive art.</w:t>
      </w:r>
      <w:proofErr w:type="gramEnd"/>
      <w:r>
        <w:t xml:space="preserve"> 6(1</w:t>
      </w:r>
      <w:proofErr w:type="gramStart"/>
      <w:r>
        <w:t>)(</w:t>
      </w:r>
      <w:proofErr w:type="gramEnd"/>
      <w:r>
        <w:t>a).</w:t>
      </w:r>
    </w:p>
  </w:endnote>
  <w:endnote w:id="51">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5(a).</w:t>
      </w:r>
      <w:proofErr w:type="gramEnd"/>
    </w:p>
  </w:endnote>
  <w:endnote w:id="52">
    <w:p w:rsidR="00E20180" w:rsidRDefault="00E20180" w:rsidP="00E20180">
      <w:pPr>
        <w:pStyle w:val="EndnoteText"/>
      </w:pPr>
      <w:r>
        <w:rPr>
          <w:rStyle w:val="EndnoteReference"/>
        </w:rPr>
        <w:endnoteRef/>
      </w:r>
      <w:r>
        <w:t xml:space="preserve"> </w:t>
      </w:r>
      <w:proofErr w:type="gramStart"/>
      <w:r>
        <w:t>APEC Framework ¶ 16.</w:t>
      </w:r>
      <w:proofErr w:type="gramEnd"/>
    </w:p>
  </w:endnote>
  <w:endnote w:id="53">
    <w:p w:rsidR="00E20180" w:rsidRDefault="00E20180" w:rsidP="00E20180">
      <w:pPr>
        <w:pStyle w:val="EndnoteText"/>
      </w:pPr>
      <w:r>
        <w:rPr>
          <w:rStyle w:val="EndnoteReference"/>
        </w:rPr>
        <w:endnoteRef/>
      </w:r>
      <w:r>
        <w:t xml:space="preserve"> </w:t>
      </w:r>
      <w:proofErr w:type="gramStart"/>
      <w:r>
        <w:t>1995 Directive art.</w:t>
      </w:r>
      <w:proofErr w:type="gramEnd"/>
      <w:r>
        <w:t xml:space="preserve"> </w:t>
      </w:r>
      <w:proofErr w:type="gramStart"/>
      <w:r>
        <w:t>6(e).</w:t>
      </w:r>
      <w:proofErr w:type="gramEnd"/>
    </w:p>
  </w:endnote>
  <w:endnote w:id="54">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5(e).</w:t>
      </w:r>
      <w:proofErr w:type="gramEnd"/>
    </w:p>
  </w:endnote>
  <w:endnote w:id="55">
    <w:p w:rsidR="00E20180" w:rsidRDefault="00E20180" w:rsidP="00E20180">
      <w:pPr>
        <w:pStyle w:val="EndnoteText"/>
      </w:pPr>
      <w:r>
        <w:rPr>
          <w:rStyle w:val="EndnoteReference"/>
        </w:rPr>
        <w:endnoteRef/>
      </w:r>
      <w:r>
        <w:t xml:space="preserve"> </w:t>
      </w:r>
      <w:proofErr w:type="gramStart"/>
      <w:r>
        <w:t>Kerry-McCain Bill § 301(2).</w:t>
      </w:r>
      <w:proofErr w:type="gramEnd"/>
    </w:p>
  </w:endnote>
  <w:endnote w:id="56">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23.</w:t>
      </w:r>
    </w:p>
  </w:endnote>
  <w:endnote w:id="57">
    <w:p w:rsidR="00E20180" w:rsidRDefault="00E20180" w:rsidP="00E20180">
      <w:pPr>
        <w:pStyle w:val="EndnoteText"/>
      </w:pPr>
      <w:r>
        <w:rPr>
          <w:rStyle w:val="EndnoteReference"/>
        </w:rPr>
        <w:endnoteRef/>
      </w:r>
      <w:r>
        <w:t xml:space="preserve"> </w:t>
      </w:r>
      <w:proofErr w:type="gramStart"/>
      <w:r>
        <w:t>Kerry-McCain Bill § 103.</w:t>
      </w:r>
      <w:proofErr w:type="gramEnd"/>
    </w:p>
  </w:endnote>
  <w:endnote w:id="58">
    <w:p w:rsidR="00E20180" w:rsidRDefault="00E20180" w:rsidP="00E20180">
      <w:pPr>
        <w:pStyle w:val="FootnoteText"/>
      </w:pPr>
      <w:r>
        <w:rPr>
          <w:rStyle w:val="EndnoteReference"/>
        </w:rPr>
        <w:endnoteRef/>
      </w:r>
      <w:r>
        <w:t xml:space="preserve"> </w:t>
      </w:r>
      <w:proofErr w:type="gramStart"/>
      <w:r>
        <w:t>1995 Directive art.</w:t>
      </w:r>
      <w:proofErr w:type="gramEnd"/>
      <w:r>
        <w:t xml:space="preserve"> 20 (authority conducts prior check of operations “likely to present specific risks” to data subjects).</w:t>
      </w:r>
    </w:p>
  </w:endnote>
  <w:endnote w:id="59">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34.</w:t>
      </w:r>
    </w:p>
  </w:endnote>
  <w:endnote w:id="60">
    <w:p w:rsidR="00E20180" w:rsidRDefault="00E20180" w:rsidP="00E20180">
      <w:pPr>
        <w:pStyle w:val="EndnoteText"/>
      </w:pPr>
      <w:r>
        <w:rPr>
          <w:rStyle w:val="EndnoteReference"/>
        </w:rPr>
        <w:endnoteRef/>
      </w:r>
      <w:r>
        <w:t xml:space="preserve"> </w:t>
      </w:r>
      <w:proofErr w:type="gramStart"/>
      <w:r>
        <w:t>1995 Directive art.</w:t>
      </w:r>
      <w:proofErr w:type="gramEnd"/>
      <w:r>
        <w:t xml:space="preserve"> </w:t>
      </w:r>
      <w:proofErr w:type="gramStart"/>
      <w:r>
        <w:t>14 (data subject can object based on “compelling legitimate grounds”).</w:t>
      </w:r>
      <w:proofErr w:type="gramEnd"/>
    </w:p>
  </w:endnote>
  <w:endnote w:id="61">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19.</w:t>
      </w:r>
    </w:p>
  </w:endnote>
  <w:endnote w:id="62">
    <w:p w:rsidR="00E20180" w:rsidRDefault="00E20180" w:rsidP="00E20180">
      <w:pPr>
        <w:pStyle w:val="EndnoteText"/>
      </w:pPr>
      <w:r>
        <w:rPr>
          <w:rStyle w:val="EndnoteReference"/>
        </w:rPr>
        <w:endnoteRef/>
      </w:r>
      <w:r>
        <w:t xml:space="preserve"> </w:t>
      </w:r>
      <w:proofErr w:type="gramStart"/>
      <w:r>
        <w:t>1995 Directive art.</w:t>
      </w:r>
      <w:proofErr w:type="gramEnd"/>
      <w:r>
        <w:t xml:space="preserve"> 15 (right of data subject not to be subject to decision that significantly affects him and is based on automated data processing).</w:t>
      </w:r>
    </w:p>
  </w:endnote>
  <w:endnote w:id="63">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20.</w:t>
      </w:r>
    </w:p>
  </w:endnote>
  <w:endnote w:id="64">
    <w:p w:rsidR="00E20180" w:rsidRDefault="00E20180" w:rsidP="00E20180">
      <w:pPr>
        <w:pStyle w:val="EndnoteText"/>
      </w:pPr>
      <w:r>
        <w:rPr>
          <w:rStyle w:val="EndnoteReference"/>
        </w:rPr>
        <w:endnoteRef/>
      </w:r>
      <w:r>
        <w:t xml:space="preserve"> </w:t>
      </w:r>
      <w:proofErr w:type="gramStart"/>
      <w:r>
        <w:t>1995 Directive arts.</w:t>
      </w:r>
      <w:proofErr w:type="gramEnd"/>
      <w:r>
        <w:t xml:space="preserve"> </w:t>
      </w:r>
      <w:proofErr w:type="gramStart"/>
      <w:r>
        <w:t>10, 11.</w:t>
      </w:r>
      <w:proofErr w:type="gramEnd"/>
    </w:p>
  </w:endnote>
  <w:endnote w:id="65">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14.</w:t>
      </w:r>
    </w:p>
  </w:endnote>
  <w:endnote w:id="66">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8.</w:t>
      </w:r>
    </w:p>
  </w:endnote>
  <w:endnote w:id="67">
    <w:p w:rsidR="00E20180" w:rsidRDefault="00E20180" w:rsidP="00E20180">
      <w:pPr>
        <w:pStyle w:val="EndnoteText"/>
      </w:pPr>
      <w:r>
        <w:rPr>
          <w:rStyle w:val="EndnoteReference"/>
        </w:rPr>
        <w:endnoteRef/>
      </w:r>
      <w:r>
        <w:t xml:space="preserve"> This </w:t>
      </w:r>
      <w:r w:rsidRPr="00ED5FDB">
        <w:t xml:space="preserve">requirement can be found in the Children’s Online Privacy Protection Act (COPPA), </w:t>
      </w:r>
      <w:r w:rsidRPr="00ED5FDB">
        <w:rPr>
          <w:rFonts w:cs="TimesNewRomanPSMT"/>
        </w:rPr>
        <w:t xml:space="preserve">Pub. L.105-277, </w:t>
      </w:r>
      <w:proofErr w:type="spellStart"/>
      <w:r w:rsidRPr="00ED5FDB">
        <w:rPr>
          <w:rFonts w:cs="TimesNewRomanPSMT"/>
        </w:rPr>
        <w:t>Div</w:t>
      </w:r>
      <w:proofErr w:type="spellEnd"/>
      <w:r w:rsidRPr="00ED5FDB">
        <w:rPr>
          <w:rFonts w:cs="TimesNewRomanPSMT"/>
        </w:rPr>
        <w:t xml:space="preserve"> C, Title XIII, § 1302, 112 Stat. 2681-728 (codified at</w:t>
      </w:r>
      <w:r>
        <w:rPr>
          <w:rFonts w:cs="TimesNewRomanPSMT"/>
        </w:rPr>
        <w:t xml:space="preserve"> 15 U.S.C. §§ 6501-6506 (1998)).  If Congress were to pass comprehensive privacy legislation similar to the Kerry-McCain bill, COPPA would operate alongside of it.</w:t>
      </w:r>
    </w:p>
  </w:endnote>
  <w:endnote w:id="68">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23.</w:t>
      </w:r>
    </w:p>
  </w:endnote>
  <w:endnote w:id="69">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w:t>
      </w:r>
      <w:proofErr w:type="gramStart"/>
      <w:r>
        <w:t>22, 33.</w:t>
      </w:r>
      <w:proofErr w:type="gramEnd"/>
    </w:p>
  </w:endnote>
  <w:endnote w:id="70">
    <w:p w:rsidR="00E20180" w:rsidRDefault="00E20180" w:rsidP="00E20180">
      <w:pPr>
        <w:pStyle w:val="EndnoteText"/>
      </w:pPr>
      <w:r>
        <w:rPr>
          <w:rStyle w:val="EndnoteReference"/>
        </w:rPr>
        <w:endnoteRef/>
      </w:r>
      <w:r>
        <w:t xml:space="preserve"> </w:t>
      </w:r>
      <w:proofErr w:type="gramStart"/>
      <w:r>
        <w:t>1995 Directive art.</w:t>
      </w:r>
      <w:proofErr w:type="gramEnd"/>
      <w:r>
        <w:t xml:space="preserve"> 18.</w:t>
      </w:r>
    </w:p>
  </w:endnote>
  <w:endnote w:id="71">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28.</w:t>
      </w:r>
    </w:p>
  </w:endnote>
  <w:endnote w:id="72">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17.</w:t>
      </w:r>
    </w:p>
  </w:endnote>
  <w:endnote w:id="73">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18.</w:t>
      </w:r>
    </w:p>
  </w:endnote>
  <w:endnote w:id="74">
    <w:p w:rsidR="00E20180" w:rsidRPr="00554228" w:rsidRDefault="00E20180" w:rsidP="00E20180">
      <w:pPr>
        <w:pStyle w:val="EndnoteText"/>
      </w:pPr>
      <w:r>
        <w:rPr>
          <w:rStyle w:val="EndnoteReference"/>
        </w:rPr>
        <w:endnoteRef/>
      </w:r>
      <w:r>
        <w:t xml:space="preserve"> APEC Framework ¶ 14 (requiring the privacy protections be designed to prevent harm to individuals, and should be proportionate to the degree of harm threatened by the collection and use of the information in question).</w:t>
      </w:r>
    </w:p>
  </w:endnote>
  <w:endnote w:id="75">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22, 35-37.</w:t>
      </w:r>
    </w:p>
  </w:endnote>
  <w:endnote w:id="76">
    <w:p w:rsidR="00E20180" w:rsidRDefault="00E20180" w:rsidP="00E20180">
      <w:pPr>
        <w:pStyle w:val="EndnoteText"/>
      </w:pPr>
      <w:r>
        <w:rPr>
          <w:rStyle w:val="EndnoteReference"/>
        </w:rPr>
        <w:endnoteRef/>
      </w:r>
      <w:r>
        <w:t xml:space="preserve"> </w:t>
      </w:r>
      <w:proofErr w:type="gramStart"/>
      <w:r>
        <w:t>1995 Directive art.</w:t>
      </w:r>
      <w:proofErr w:type="gramEnd"/>
      <w:r>
        <w:t xml:space="preserve"> 28.</w:t>
      </w:r>
    </w:p>
  </w:endnote>
  <w:endnote w:id="77">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46.</w:t>
      </w:r>
    </w:p>
  </w:endnote>
  <w:endnote w:id="78">
    <w:p w:rsidR="00E20180" w:rsidRDefault="00E20180" w:rsidP="00E20180">
      <w:pPr>
        <w:pStyle w:val="EndnoteText"/>
      </w:pPr>
      <w:r>
        <w:rPr>
          <w:rStyle w:val="EndnoteReference"/>
        </w:rPr>
        <w:endnoteRef/>
      </w:r>
      <w:r>
        <w:t xml:space="preserve"> </w:t>
      </w:r>
      <w:proofErr w:type="gramStart"/>
      <w:r>
        <w:t>1995 Directive art.</w:t>
      </w:r>
      <w:proofErr w:type="gramEnd"/>
      <w:r>
        <w:t xml:space="preserve"> 25.</w:t>
      </w:r>
    </w:p>
  </w:endnote>
  <w:endnote w:id="79">
    <w:p w:rsidR="00E20180" w:rsidRDefault="00E20180" w:rsidP="00E20180">
      <w:pPr>
        <w:pStyle w:val="EndnoteText"/>
      </w:pPr>
      <w:r>
        <w:rPr>
          <w:rStyle w:val="EndnoteReference"/>
        </w:rPr>
        <w:endnoteRef/>
      </w:r>
      <w:r>
        <w:t xml:space="preserve">  </w:t>
      </w:r>
      <w:proofErr w:type="gramStart"/>
      <w:r>
        <w:t>Proposed General Regulation art.</w:t>
      </w:r>
      <w:proofErr w:type="gramEnd"/>
      <w:r>
        <w:t xml:space="preserve"> 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enturySchoolbook-Italic">
    <w:panose1 w:val="00000000000000000000"/>
    <w:charset w:val="00"/>
    <w:family w:val="roman"/>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3197"/>
      <w:docPartObj>
        <w:docPartGallery w:val="Page Numbers (Bottom of Page)"/>
        <w:docPartUnique/>
      </w:docPartObj>
    </w:sdtPr>
    <w:sdtEndPr>
      <w:rPr>
        <w:noProof/>
      </w:rPr>
    </w:sdtEndPr>
    <w:sdtContent>
      <w:p w:rsidR="003D5AD3" w:rsidRDefault="003D5AD3">
        <w:pPr>
          <w:pStyle w:val="Footer"/>
          <w:jc w:val="center"/>
        </w:pPr>
        <w:r>
          <w:fldChar w:fldCharType="begin"/>
        </w:r>
        <w:r>
          <w:instrText xml:space="preserve"> PAGE   \* MERGEFORMAT </w:instrText>
        </w:r>
        <w:r>
          <w:fldChar w:fldCharType="separate"/>
        </w:r>
        <w:r w:rsidR="0079660B">
          <w:rPr>
            <w:noProof/>
          </w:rPr>
          <w:t>1</w:t>
        </w:r>
        <w:r>
          <w:rPr>
            <w:noProof/>
          </w:rPr>
          <w:fldChar w:fldCharType="end"/>
        </w:r>
      </w:p>
    </w:sdtContent>
  </w:sdt>
  <w:p w:rsidR="002C3C3A" w:rsidRDefault="002C3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51" w:rsidRDefault="00917D51" w:rsidP="00322186">
      <w:pPr>
        <w:spacing w:after="0" w:line="240" w:lineRule="auto"/>
      </w:pPr>
      <w:r>
        <w:separator/>
      </w:r>
    </w:p>
  </w:footnote>
  <w:footnote w:type="continuationSeparator" w:id="0">
    <w:p w:rsidR="00917D51" w:rsidRDefault="00917D51" w:rsidP="00322186">
      <w:pPr>
        <w:spacing w:after="0" w:line="240" w:lineRule="auto"/>
      </w:pPr>
      <w:r>
        <w:continuationSeparator/>
      </w:r>
    </w:p>
  </w:footnote>
  <w:footnote w:id="1">
    <w:p w:rsidR="00213D46" w:rsidRPr="006D6AB7" w:rsidRDefault="00213D46" w:rsidP="00322186">
      <w:pPr>
        <w:pStyle w:val="FootnoteText"/>
      </w:pPr>
      <w:r>
        <w:rPr>
          <w:rStyle w:val="FootnoteReference"/>
        </w:rPr>
        <w:footnoteRef/>
      </w:r>
      <w:r>
        <w:t xml:space="preserve"> </w:t>
      </w:r>
      <w:r w:rsidRPr="006D6AB7">
        <w:rPr>
          <w:i/>
        </w:rPr>
        <w:t xml:space="preserve">See </w:t>
      </w:r>
      <w:r w:rsidRPr="006D6AB7">
        <w:t xml:space="preserve">Paul M. Schwartz, </w:t>
      </w:r>
      <w:r w:rsidRPr="006D6AB7">
        <w:rPr>
          <w:i/>
        </w:rPr>
        <w:t>Managing Global Data Privacy: Cross-Border Information Flows in a Networked Environment</w:t>
      </w:r>
      <w:r w:rsidRPr="006D6AB7">
        <w:t xml:space="preserve"> (The Privacy Projects, 2009) (describing commercial data transfers across national borders).</w:t>
      </w:r>
    </w:p>
  </w:footnote>
  <w:footnote w:id="2">
    <w:p w:rsidR="00213D46" w:rsidRPr="006D6AB7" w:rsidRDefault="00213D46">
      <w:pPr>
        <w:pStyle w:val="FootnoteText"/>
      </w:pPr>
      <w:r w:rsidRPr="006D6AB7">
        <w:rPr>
          <w:rStyle w:val="FootnoteReference"/>
        </w:rPr>
        <w:footnoteRef/>
      </w:r>
      <w:r w:rsidRPr="006D6AB7">
        <w:t xml:space="preserve"> </w:t>
      </w:r>
      <w:r w:rsidRPr="006D6AB7">
        <w:rPr>
          <w:i/>
        </w:rPr>
        <w:t xml:space="preserve">See </w:t>
      </w:r>
      <w:r w:rsidRPr="006D6AB7">
        <w:t xml:space="preserve">Joel R. </w:t>
      </w:r>
      <w:proofErr w:type="spellStart"/>
      <w:r w:rsidRPr="006D6AB7">
        <w:t>Reidenberg</w:t>
      </w:r>
      <w:proofErr w:type="spellEnd"/>
      <w:r w:rsidRPr="006D6AB7">
        <w:t xml:space="preserve">, </w:t>
      </w:r>
      <w:r w:rsidRPr="006D6AB7">
        <w:rPr>
          <w:i/>
        </w:rPr>
        <w:t>Resolving Conflicting International Data Privacy Rules in Cyberspace</w:t>
      </w:r>
      <w:r w:rsidRPr="006D6AB7">
        <w:t xml:space="preserve">, 52 </w:t>
      </w:r>
      <w:r w:rsidRPr="006D6AB7">
        <w:rPr>
          <w:smallCaps/>
        </w:rPr>
        <w:t xml:space="preserve">Stan. L. Rev. </w:t>
      </w:r>
      <w:r w:rsidRPr="006D6AB7">
        <w:t xml:space="preserve"> 1315, 1336-1339 (2000) (describing the conflict between international data flows and national laws).</w:t>
      </w:r>
    </w:p>
  </w:footnote>
  <w:footnote w:id="3">
    <w:p w:rsidR="00213D46" w:rsidRPr="006D6AB7" w:rsidRDefault="00213D46">
      <w:pPr>
        <w:pStyle w:val="FootnoteText"/>
      </w:pPr>
      <w:r w:rsidRPr="006D6AB7">
        <w:rPr>
          <w:rStyle w:val="FootnoteReference"/>
        </w:rPr>
        <w:footnoteRef/>
      </w:r>
      <w:r w:rsidRPr="006D6AB7">
        <w:t xml:space="preserve"> </w:t>
      </w:r>
      <w:r w:rsidRPr="006D6AB7">
        <w:rPr>
          <w:i/>
        </w:rPr>
        <w:t xml:space="preserve">See infra </w:t>
      </w:r>
      <w:r w:rsidRPr="006D6AB7">
        <w:t xml:space="preserve">notes </w:t>
      </w:r>
      <w:r w:rsidR="00821DA5">
        <w:t>49-56</w:t>
      </w:r>
      <w:r w:rsidR="00157E8A">
        <w:t xml:space="preserve"> </w:t>
      </w:r>
      <w:r w:rsidRPr="006D6AB7">
        <w:t>and accompanying text.</w:t>
      </w:r>
    </w:p>
  </w:footnote>
  <w:footnote w:id="4">
    <w:p w:rsidR="00213D46" w:rsidRPr="006D6AB7" w:rsidRDefault="00213D46" w:rsidP="00DD4C0F">
      <w:pPr>
        <w:pStyle w:val="FootnoteText"/>
      </w:pPr>
      <w:r w:rsidRPr="006D6AB7">
        <w:rPr>
          <w:rStyle w:val="FootnoteReference"/>
        </w:rPr>
        <w:footnoteRef/>
      </w:r>
      <w:r w:rsidRPr="006D6AB7">
        <w:t xml:space="preserve"> </w:t>
      </w:r>
      <w:r w:rsidRPr="006D6AB7">
        <w:rPr>
          <w:i/>
        </w:rPr>
        <w:t xml:space="preserve">See infra </w:t>
      </w:r>
      <w:r w:rsidRPr="006D6AB7">
        <w:t xml:space="preserve">notes </w:t>
      </w:r>
      <w:r w:rsidR="00821DA5">
        <w:t>57-65</w:t>
      </w:r>
      <w:r w:rsidR="0092547F">
        <w:t xml:space="preserve"> </w:t>
      </w:r>
      <w:r w:rsidRPr="006D6AB7">
        <w:t>and accompanying text.</w:t>
      </w:r>
    </w:p>
  </w:footnote>
  <w:footnote w:id="5">
    <w:p w:rsidR="00213D46" w:rsidRPr="006D6AB7" w:rsidRDefault="00213D46" w:rsidP="00DD4C0F">
      <w:pPr>
        <w:pStyle w:val="FootnoteText"/>
      </w:pPr>
      <w:r w:rsidRPr="006D6AB7">
        <w:rPr>
          <w:rStyle w:val="FootnoteReference"/>
        </w:rPr>
        <w:footnoteRef/>
      </w:r>
      <w:r w:rsidRPr="006D6AB7">
        <w:t xml:space="preserve"> </w:t>
      </w:r>
      <w:r w:rsidRPr="006D6AB7">
        <w:rPr>
          <w:i/>
        </w:rPr>
        <w:t xml:space="preserve">See infra </w:t>
      </w:r>
      <w:r w:rsidRPr="006D6AB7">
        <w:t xml:space="preserve">notes </w:t>
      </w:r>
      <w:r w:rsidR="00821DA5">
        <w:t>62-63</w:t>
      </w:r>
      <w:r w:rsidR="006B34B0">
        <w:t xml:space="preserve"> </w:t>
      </w:r>
      <w:r w:rsidRPr="006D6AB7">
        <w:t>and accompanying text.</w:t>
      </w:r>
    </w:p>
  </w:footnote>
  <w:footnote w:id="6">
    <w:p w:rsidR="00213D46" w:rsidRPr="006D6AB7" w:rsidRDefault="00213D46" w:rsidP="00322186">
      <w:pPr>
        <w:pStyle w:val="FootnoteText"/>
        <w:rPr>
          <w:rFonts w:cstheme="minorHAnsi"/>
        </w:rPr>
      </w:pPr>
      <w:r w:rsidRPr="006D6AB7">
        <w:rPr>
          <w:rStyle w:val="FootnoteReference"/>
          <w:rFonts w:cstheme="minorHAnsi"/>
        </w:rPr>
        <w:footnoteRef/>
      </w:r>
      <w:r w:rsidRPr="006D6AB7">
        <w:rPr>
          <w:rFonts w:cstheme="minorHAnsi"/>
        </w:rPr>
        <w:t xml:space="preserve"> </w:t>
      </w:r>
      <w:proofErr w:type="gramStart"/>
      <w:r w:rsidRPr="006D6AB7">
        <w:rPr>
          <w:rFonts w:cstheme="minorHAnsi"/>
        </w:rPr>
        <w:t xml:space="preserve">Department of Commerce, Internet Policy Task Force, </w:t>
      </w:r>
      <w:r w:rsidRPr="006D6AB7">
        <w:rPr>
          <w:rFonts w:cstheme="minorHAnsi"/>
          <w:i/>
        </w:rPr>
        <w:t>Commercial Data Privacy and Innovation in the Internet Economy</w:t>
      </w:r>
      <w:r w:rsidRPr="006D6AB7">
        <w:rPr>
          <w:rFonts w:cstheme="minorHAnsi"/>
        </w:rPr>
        <w:t xml:space="preserve"> 53 (2010).</w:t>
      </w:r>
      <w:proofErr w:type="gramEnd"/>
    </w:p>
  </w:footnote>
  <w:footnote w:id="7">
    <w:p w:rsidR="00213D46" w:rsidRPr="006D6AB7" w:rsidRDefault="00213D46" w:rsidP="00E812BB">
      <w:pPr>
        <w:pStyle w:val="FootnoteText"/>
      </w:pPr>
      <w:r w:rsidRPr="006D6AB7">
        <w:rPr>
          <w:rStyle w:val="FootnoteReference"/>
        </w:rPr>
        <w:footnoteRef/>
      </w:r>
      <w:r w:rsidRPr="006D6AB7">
        <w:t xml:space="preserve"> </w:t>
      </w:r>
      <w:r w:rsidRPr="006D6AB7">
        <w:rPr>
          <w:i/>
        </w:rPr>
        <w:t xml:space="preserve">See infra </w:t>
      </w:r>
      <w:r w:rsidR="00821DA5">
        <w:t>note 77</w:t>
      </w:r>
      <w:r w:rsidR="006B34B0">
        <w:t xml:space="preserve"> </w:t>
      </w:r>
      <w:r w:rsidRPr="006D6AB7">
        <w:t>and accompanying text.</w:t>
      </w:r>
    </w:p>
  </w:footnote>
  <w:footnote w:id="8">
    <w:p w:rsidR="00213D46" w:rsidRPr="006D6AB7" w:rsidRDefault="00213D46" w:rsidP="00E812BB">
      <w:pPr>
        <w:pStyle w:val="FootnoteText"/>
      </w:pPr>
      <w:r w:rsidRPr="006D6AB7">
        <w:rPr>
          <w:rStyle w:val="FootnoteReference"/>
        </w:rPr>
        <w:footnoteRef/>
      </w:r>
      <w:r w:rsidRPr="006D6AB7">
        <w:t xml:space="preserve"> </w:t>
      </w:r>
      <w:r w:rsidRPr="006D6AB7">
        <w:rPr>
          <w:i/>
        </w:rPr>
        <w:t xml:space="preserve">See infra </w:t>
      </w:r>
      <w:r w:rsidRPr="006D6AB7">
        <w:t xml:space="preserve">notes </w:t>
      </w:r>
      <w:r w:rsidR="00B74911">
        <w:t>90-92</w:t>
      </w:r>
      <w:r w:rsidRPr="006D6AB7">
        <w:t xml:space="preserve"> and accompanying text.</w:t>
      </w:r>
    </w:p>
  </w:footnote>
  <w:footnote w:id="9">
    <w:p w:rsidR="00213D46" w:rsidRPr="006D6AB7" w:rsidRDefault="00213D46" w:rsidP="00E812BB">
      <w:pPr>
        <w:pStyle w:val="FootnoteText"/>
      </w:pPr>
      <w:r w:rsidRPr="006D6AB7">
        <w:rPr>
          <w:rStyle w:val="FootnoteReference"/>
        </w:rPr>
        <w:footnoteRef/>
      </w:r>
      <w:r w:rsidRPr="006D6AB7">
        <w:t xml:space="preserve"> </w:t>
      </w:r>
      <w:r w:rsidRPr="006D6AB7">
        <w:rPr>
          <w:i/>
        </w:rPr>
        <w:t xml:space="preserve">See infra </w:t>
      </w:r>
      <w:r w:rsidRPr="006D6AB7">
        <w:t xml:space="preserve">notes </w:t>
      </w:r>
      <w:r w:rsidR="00B253A6">
        <w:t>101-120</w:t>
      </w:r>
      <w:r w:rsidR="00E92FE7">
        <w:t xml:space="preserve"> </w:t>
      </w:r>
      <w:r w:rsidRPr="006D6AB7">
        <w:t>and accompanying text.</w:t>
      </w:r>
    </w:p>
  </w:footnote>
  <w:footnote w:id="10">
    <w:p w:rsidR="00213D46" w:rsidRPr="006D6AB7" w:rsidRDefault="00213D46" w:rsidP="00C5302D">
      <w:pPr>
        <w:pStyle w:val="FootnoteText"/>
      </w:pPr>
      <w:r w:rsidRPr="006D6AB7">
        <w:rPr>
          <w:rStyle w:val="FootnoteReference"/>
        </w:rPr>
        <w:footnoteRef/>
      </w:r>
      <w:r w:rsidRPr="006D6AB7">
        <w:t xml:space="preserve"> </w:t>
      </w:r>
      <w:r w:rsidRPr="006D6AB7">
        <w:rPr>
          <w:i/>
        </w:rPr>
        <w:t xml:space="preserve">See infra </w:t>
      </w:r>
      <w:r w:rsidRPr="006D6AB7">
        <w:t xml:space="preserve">notes </w:t>
      </w:r>
      <w:r w:rsidR="00D628BB">
        <w:t>101-108</w:t>
      </w:r>
      <w:r w:rsidR="00E92FE7">
        <w:t xml:space="preserve"> </w:t>
      </w:r>
      <w:r w:rsidRPr="006D6AB7">
        <w:t>and accompanying text.</w:t>
      </w:r>
    </w:p>
  </w:footnote>
  <w:footnote w:id="11">
    <w:p w:rsidR="00213D46" w:rsidRPr="006D6AB7" w:rsidRDefault="00213D46" w:rsidP="00C5302D">
      <w:pPr>
        <w:pStyle w:val="FootnoteText"/>
      </w:pPr>
      <w:r w:rsidRPr="006D6AB7">
        <w:rPr>
          <w:rStyle w:val="FootnoteReference"/>
        </w:rPr>
        <w:footnoteRef/>
      </w:r>
      <w:r w:rsidRPr="006D6AB7">
        <w:t xml:space="preserve"> </w:t>
      </w:r>
      <w:r w:rsidRPr="006D6AB7">
        <w:rPr>
          <w:i/>
        </w:rPr>
        <w:t xml:space="preserve">See infra </w:t>
      </w:r>
      <w:r w:rsidRPr="006D6AB7">
        <w:t xml:space="preserve">notes </w:t>
      </w:r>
      <w:r w:rsidR="00D628BB">
        <w:t>109-114</w:t>
      </w:r>
      <w:r w:rsidRPr="006D6AB7">
        <w:t xml:space="preserve"> and accompanying text.</w:t>
      </w:r>
    </w:p>
  </w:footnote>
  <w:footnote w:id="12">
    <w:p w:rsidR="00213D46" w:rsidRPr="006D6AB7" w:rsidRDefault="00213D46" w:rsidP="00C5302D">
      <w:pPr>
        <w:pStyle w:val="FootnoteText"/>
      </w:pPr>
      <w:r w:rsidRPr="006D6AB7">
        <w:rPr>
          <w:rStyle w:val="FootnoteReference"/>
        </w:rPr>
        <w:footnoteRef/>
      </w:r>
      <w:r w:rsidRPr="006D6AB7">
        <w:t xml:space="preserve"> </w:t>
      </w:r>
      <w:r w:rsidRPr="006D6AB7">
        <w:rPr>
          <w:i/>
        </w:rPr>
        <w:t xml:space="preserve">See infra </w:t>
      </w:r>
      <w:r w:rsidRPr="006D6AB7">
        <w:t xml:space="preserve">notes </w:t>
      </w:r>
      <w:r w:rsidR="00D628BB">
        <w:t>115-120</w:t>
      </w:r>
      <w:r w:rsidR="004E1FD7">
        <w:t xml:space="preserve"> </w:t>
      </w:r>
      <w:r w:rsidRPr="006D6AB7">
        <w:t>and accompanying text.</w:t>
      </w:r>
    </w:p>
  </w:footnote>
  <w:footnote w:id="13">
    <w:p w:rsidR="00213D46" w:rsidRPr="006D6AB7" w:rsidRDefault="00213D46" w:rsidP="00FC2B7B">
      <w:pPr>
        <w:pStyle w:val="FootnoteText"/>
      </w:pPr>
      <w:r w:rsidRPr="006D6AB7">
        <w:rPr>
          <w:rStyle w:val="FootnoteReference"/>
        </w:rPr>
        <w:footnoteRef/>
      </w:r>
      <w:r w:rsidRPr="006D6AB7">
        <w:t xml:space="preserve"> </w:t>
      </w:r>
      <w:r w:rsidRPr="006D6AB7">
        <w:rPr>
          <w:i/>
        </w:rPr>
        <w:t xml:space="preserve">See </w:t>
      </w:r>
      <w:r w:rsidRPr="006D6AB7">
        <w:t xml:space="preserve">Dennis D. Hirsch, </w:t>
      </w:r>
      <w:r w:rsidRPr="006D6AB7">
        <w:rPr>
          <w:i/>
        </w:rPr>
        <w:t>Introduction: The Information Economy, The War on Terror and the Evolving Landscape of Information Privacy Law</w:t>
      </w:r>
      <w:r w:rsidRPr="006D6AB7">
        <w:t xml:space="preserve">, 6 </w:t>
      </w:r>
      <w:proofErr w:type="gramStart"/>
      <w:r w:rsidRPr="006D6AB7">
        <w:rPr>
          <w:smallCaps/>
        </w:rPr>
        <w:t>I/S</w:t>
      </w:r>
      <w:proofErr w:type="gramEnd"/>
      <w:r w:rsidRPr="006D6AB7">
        <w:rPr>
          <w:smallCaps/>
        </w:rPr>
        <w:t xml:space="preserve">: J. of L. &amp; </w:t>
      </w:r>
      <w:proofErr w:type="spellStart"/>
      <w:r w:rsidRPr="006D6AB7">
        <w:rPr>
          <w:smallCaps/>
        </w:rPr>
        <w:t>Pol’y</w:t>
      </w:r>
      <w:proofErr w:type="spellEnd"/>
      <w:r w:rsidRPr="006D6AB7">
        <w:rPr>
          <w:smallCaps/>
        </w:rPr>
        <w:t xml:space="preserve"> for the Info. Society </w:t>
      </w:r>
      <w:r w:rsidRPr="006D6AB7">
        <w:t xml:space="preserve">409, 409-12 (2010) (describing this process in a number of areas of law) [hereinafter Hirsch, </w:t>
      </w:r>
      <w:r w:rsidRPr="006D6AB7">
        <w:rPr>
          <w:i/>
        </w:rPr>
        <w:t>Information Economy</w:t>
      </w:r>
      <w:r w:rsidRPr="006D6AB7">
        <w:t>].</w:t>
      </w:r>
    </w:p>
  </w:footnote>
  <w:footnote w:id="14">
    <w:p w:rsidR="00213D46" w:rsidRPr="006D6AB7" w:rsidRDefault="00213D46" w:rsidP="00A60DE7">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note 2, at 1322 (“the entire architecture of the Internet is based on the principle of geographic indeterminacy.  .  .  . Data may be collected in one location, processed elsewhere, and stored in yet another site.”)</w:t>
      </w:r>
    </w:p>
  </w:footnote>
  <w:footnote w:id="15">
    <w:p w:rsidR="00213D46" w:rsidRPr="006D6AB7" w:rsidRDefault="00213D46" w:rsidP="001D01DA">
      <w:pPr>
        <w:pStyle w:val="FootnoteText"/>
      </w:pPr>
      <w:r w:rsidRPr="006D6AB7">
        <w:rPr>
          <w:rStyle w:val="FootnoteReference"/>
        </w:rPr>
        <w:footnoteRef/>
      </w:r>
      <w:r w:rsidRPr="006D6AB7">
        <w:t xml:space="preserve"> Cloud computing is “the location of computing resources on the Internet in a fashion that makes them highly dynamic and scalable.”  Schwartz, </w:t>
      </w:r>
      <w:r w:rsidRPr="006D6AB7">
        <w:rPr>
          <w:i/>
        </w:rPr>
        <w:t xml:space="preserve">Managing Global Data Privacy, supra </w:t>
      </w:r>
      <w:r w:rsidRPr="006D6AB7">
        <w:t>note 1, at</w:t>
      </w:r>
      <w:r w:rsidRPr="006D6AB7">
        <w:rPr>
          <w:i/>
        </w:rPr>
        <w:t xml:space="preserve"> </w:t>
      </w:r>
      <w:proofErr w:type="gramStart"/>
      <w:r w:rsidRPr="006D6AB7">
        <w:t xml:space="preserve">5 </w:t>
      </w:r>
      <w:r w:rsidRPr="006D6AB7">
        <w:rPr>
          <w:i/>
        </w:rPr>
        <w:t xml:space="preserve"> </w:t>
      </w:r>
      <w:r w:rsidRPr="006D6AB7">
        <w:t>(</w:t>
      </w:r>
      <w:proofErr w:type="gramEnd"/>
      <w:r w:rsidRPr="006D6AB7">
        <w:t>The Privacy Projects, 2009).</w:t>
      </w:r>
    </w:p>
  </w:footnote>
  <w:footnote w:id="16">
    <w:p w:rsidR="00213D46" w:rsidRPr="006D6AB7" w:rsidRDefault="00213D46">
      <w:pPr>
        <w:pStyle w:val="FootnoteText"/>
      </w:pPr>
      <w:r w:rsidRPr="006D6AB7">
        <w:rPr>
          <w:rStyle w:val="FootnoteReference"/>
        </w:rPr>
        <w:footnoteRef/>
      </w:r>
      <w:r w:rsidRPr="006D6AB7">
        <w:t xml:space="preserve">Schwartz, </w:t>
      </w:r>
      <w:r w:rsidRPr="006D6AB7">
        <w:rPr>
          <w:i/>
        </w:rPr>
        <w:t xml:space="preserve">Managing Global Data Privacy, supra </w:t>
      </w:r>
      <w:r w:rsidRPr="006D6AB7">
        <w:t>note 1.</w:t>
      </w:r>
    </w:p>
  </w:footnote>
  <w:footnote w:id="17">
    <w:p w:rsidR="00213D46" w:rsidRPr="006D6AB7" w:rsidRDefault="00213D46" w:rsidP="00E11B34">
      <w:pPr>
        <w:pStyle w:val="FootnoteText"/>
      </w:pPr>
      <w:r w:rsidRPr="006D6AB7">
        <w:rPr>
          <w:rStyle w:val="FootnoteReference"/>
        </w:rPr>
        <w:footnoteRef/>
      </w:r>
      <w:r w:rsidRPr="006D6AB7">
        <w:t xml:space="preserve"> </w:t>
      </w:r>
      <w:proofErr w:type="gramStart"/>
      <w:r w:rsidRPr="006D6AB7">
        <w:rPr>
          <w:i/>
        </w:rPr>
        <w:t xml:space="preserve">Id. </w:t>
      </w:r>
      <w:r w:rsidRPr="006D6AB7">
        <w:t>at 5, 10.</w:t>
      </w:r>
      <w:proofErr w:type="gramEnd"/>
    </w:p>
  </w:footnote>
  <w:footnote w:id="18">
    <w:p w:rsidR="00213D46" w:rsidRPr="006D6AB7" w:rsidRDefault="00213D46" w:rsidP="00E11B34">
      <w:pPr>
        <w:pStyle w:val="FootnoteText"/>
      </w:pPr>
      <w:r w:rsidRPr="006D6AB7">
        <w:rPr>
          <w:rStyle w:val="FootnoteReference"/>
        </w:rPr>
        <w:footnoteRef/>
      </w:r>
      <w:r w:rsidRPr="006D6AB7">
        <w:t xml:space="preserve"> </w:t>
      </w:r>
      <w:r w:rsidRPr="006D6AB7">
        <w:rPr>
          <w:i/>
        </w:rPr>
        <w:t>Id.</w:t>
      </w:r>
    </w:p>
  </w:footnote>
  <w:footnote w:id="19">
    <w:p w:rsidR="00213D46" w:rsidRPr="006D6AB7" w:rsidRDefault="00213D46" w:rsidP="00D6674A">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International Data Privacy Rules</w:t>
      </w:r>
      <w:r w:rsidRPr="006D6AB7">
        <w:t xml:space="preserve">, </w:t>
      </w:r>
      <w:r w:rsidRPr="006D6AB7">
        <w:rPr>
          <w:i/>
        </w:rPr>
        <w:t xml:space="preserve">supra </w:t>
      </w:r>
      <w:r w:rsidRPr="006D6AB7">
        <w:t xml:space="preserve">note 2, at 1316-17; </w:t>
      </w:r>
      <w:r w:rsidRPr="006D6AB7">
        <w:rPr>
          <w:i/>
        </w:rPr>
        <w:t xml:space="preserve">see also </w:t>
      </w:r>
      <w:r w:rsidRPr="006D6AB7">
        <w:t xml:space="preserve">Dep’t of Commerce, </w:t>
      </w:r>
      <w:r w:rsidRPr="006D6AB7">
        <w:rPr>
          <w:i/>
        </w:rPr>
        <w:t>Commercial Data Privacy</w:t>
      </w:r>
      <w:r w:rsidRPr="006D6AB7">
        <w:t xml:space="preserve">, </w:t>
      </w:r>
      <w:r w:rsidRPr="006D6AB7">
        <w:rPr>
          <w:i/>
        </w:rPr>
        <w:t xml:space="preserve">supra </w:t>
      </w:r>
      <w:r w:rsidRPr="006D6AB7">
        <w:t>note 6, at 19 (“[u]</w:t>
      </w:r>
      <w:proofErr w:type="spellStart"/>
      <w:r w:rsidRPr="006D6AB7">
        <w:t>nlike</w:t>
      </w:r>
      <w:proofErr w:type="spellEnd"/>
      <w:r w:rsidRPr="006D6AB7">
        <w:t xml:space="preserve"> traditional mass media, the Internet is global.”)</w:t>
      </w:r>
    </w:p>
  </w:footnote>
  <w:footnote w:id="20">
    <w:p w:rsidR="00213D46" w:rsidRPr="006D6AB7" w:rsidRDefault="00213D46" w:rsidP="00D6674A">
      <w:pPr>
        <w:pStyle w:val="FootnoteText"/>
      </w:pPr>
      <w:r w:rsidRPr="006D6AB7">
        <w:rPr>
          <w:rStyle w:val="FootnoteReference"/>
        </w:rPr>
        <w:footnoteRef/>
      </w:r>
      <w:r w:rsidRPr="006D6AB7">
        <w:t xml:space="preserve"> Schwartz, </w:t>
      </w:r>
      <w:r w:rsidRPr="006D6AB7">
        <w:rPr>
          <w:i/>
        </w:rPr>
        <w:t xml:space="preserve">Managing Global Data Privacy, supra </w:t>
      </w:r>
      <w:r w:rsidRPr="006D6AB7">
        <w:t>note 1, at 17 (IT revolution facilitated globalization).</w:t>
      </w:r>
    </w:p>
  </w:footnote>
  <w:footnote w:id="21">
    <w:p w:rsidR="00213D46" w:rsidRPr="006D6AB7" w:rsidRDefault="00213D46" w:rsidP="008E0A9B">
      <w:pPr>
        <w:pStyle w:val="FootnoteText"/>
      </w:pPr>
      <w:r w:rsidRPr="006D6AB7">
        <w:rPr>
          <w:rStyle w:val="FootnoteReference"/>
        </w:rPr>
        <w:footnoteRef/>
      </w:r>
      <w:r w:rsidRPr="006D6AB7">
        <w:t xml:space="preserve"> </w:t>
      </w:r>
      <w:proofErr w:type="gramStart"/>
      <w:r w:rsidRPr="006D6AB7">
        <w:rPr>
          <w:i/>
        </w:rPr>
        <w:t xml:space="preserve">Id. </w:t>
      </w:r>
      <w:r w:rsidRPr="006D6AB7">
        <w:t>at 20 (data transfers based on process optimization, not physical proximity).</w:t>
      </w:r>
      <w:proofErr w:type="gramEnd"/>
      <w:r w:rsidRPr="006D6AB7">
        <w:t xml:space="preserve">  </w:t>
      </w:r>
    </w:p>
  </w:footnote>
  <w:footnote w:id="22">
    <w:p w:rsidR="00213D46" w:rsidRPr="006D6AB7" w:rsidRDefault="00213D46" w:rsidP="008B40AD">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 xml:space="preserve">note 2, at 1317. </w:t>
      </w:r>
    </w:p>
  </w:footnote>
  <w:footnote w:id="23">
    <w:p w:rsidR="00213D46" w:rsidRPr="006D6AB7" w:rsidRDefault="00213D46">
      <w:pPr>
        <w:pStyle w:val="FootnoteText"/>
      </w:pPr>
      <w:r w:rsidRPr="006D6AB7">
        <w:rPr>
          <w:rStyle w:val="FootnoteReference"/>
        </w:rPr>
        <w:footnoteRef/>
      </w:r>
      <w:r w:rsidRPr="006D6AB7">
        <w:t xml:space="preserve">Schwartz, </w:t>
      </w:r>
      <w:r w:rsidRPr="006D6AB7">
        <w:rPr>
          <w:i/>
        </w:rPr>
        <w:t xml:space="preserve">Managing Global Data Privacy, supra </w:t>
      </w:r>
      <w:r w:rsidRPr="006D6AB7">
        <w:t xml:space="preserve">note 1, at 17 (data goes “from one established database to another”).  </w:t>
      </w:r>
      <w:r w:rsidRPr="006D6AB7">
        <w:rPr>
          <w:rFonts w:cs="Times New Roman"/>
          <w:kern w:val="24"/>
        </w:rPr>
        <w:t>An example would be a subsidiary that transferred human resources data from its own local data base, to that of its parent company.</w:t>
      </w:r>
      <w:r w:rsidRPr="006D6AB7">
        <w:t xml:space="preserve"> </w:t>
      </w:r>
      <w:proofErr w:type="gramStart"/>
      <w:r w:rsidRPr="006D6AB7">
        <w:rPr>
          <w:i/>
        </w:rPr>
        <w:t xml:space="preserve">Id. </w:t>
      </w:r>
      <w:r w:rsidRPr="006D6AB7">
        <w:t>at 11 (providing such an example).</w:t>
      </w:r>
      <w:proofErr w:type="gramEnd"/>
    </w:p>
  </w:footnote>
  <w:footnote w:id="24">
    <w:p w:rsidR="00213D46" w:rsidRPr="006D6AB7" w:rsidRDefault="00213D46" w:rsidP="00B81805">
      <w:pPr>
        <w:pStyle w:val="FootnoteText"/>
      </w:pPr>
      <w:r w:rsidRPr="006D6AB7">
        <w:rPr>
          <w:rStyle w:val="FootnoteReference"/>
        </w:rPr>
        <w:footnoteRef/>
      </w:r>
      <w:r w:rsidRPr="006D6AB7">
        <w:t xml:space="preserve"> </w:t>
      </w:r>
      <w:proofErr w:type="gramStart"/>
      <w:r w:rsidRPr="006D6AB7">
        <w:rPr>
          <w:i/>
        </w:rPr>
        <w:t>Id.</w:t>
      </w:r>
      <w:r w:rsidRPr="006D6AB7">
        <w:t xml:space="preserve"> at 8.</w:t>
      </w:r>
      <w:proofErr w:type="gramEnd"/>
    </w:p>
  </w:footnote>
  <w:footnote w:id="25">
    <w:p w:rsidR="00213D46" w:rsidRPr="006D6AB7" w:rsidRDefault="00213D46">
      <w:pPr>
        <w:pStyle w:val="FootnoteText"/>
      </w:pPr>
      <w:r w:rsidRPr="006D6AB7">
        <w:rPr>
          <w:rStyle w:val="FootnoteReference"/>
        </w:rPr>
        <w:footnoteRef/>
      </w:r>
      <w:r w:rsidRPr="006D6AB7">
        <w:t xml:space="preserve"> </w:t>
      </w:r>
      <w:proofErr w:type="gramStart"/>
      <w:r w:rsidRPr="006D6AB7">
        <w:rPr>
          <w:i/>
        </w:rPr>
        <w:t>Id.</w:t>
      </w:r>
      <w:r w:rsidRPr="006D6AB7">
        <w:t xml:space="preserve"> at 15.</w:t>
      </w:r>
      <w:proofErr w:type="gramEnd"/>
      <w:r w:rsidRPr="006D6AB7">
        <w:t xml:space="preserve">  </w:t>
      </w:r>
    </w:p>
  </w:footnote>
  <w:footnote w:id="26">
    <w:p w:rsidR="00213D46" w:rsidRPr="006D6AB7" w:rsidRDefault="00213D46">
      <w:pPr>
        <w:pStyle w:val="FootnoteText"/>
      </w:pPr>
      <w:r w:rsidRPr="006D6AB7">
        <w:rPr>
          <w:rStyle w:val="FootnoteReference"/>
        </w:rPr>
        <w:footnoteRef/>
      </w:r>
      <w:r w:rsidRPr="006D6AB7">
        <w:t xml:space="preserve"> </w:t>
      </w:r>
      <w:proofErr w:type="gramStart"/>
      <w:r w:rsidRPr="006D6AB7">
        <w:rPr>
          <w:i/>
        </w:rPr>
        <w:t>Id.</w:t>
      </w:r>
      <w:r w:rsidRPr="006D6AB7">
        <w:t xml:space="preserve"> at 23.</w:t>
      </w:r>
      <w:proofErr w:type="gramEnd"/>
    </w:p>
  </w:footnote>
  <w:footnote w:id="27">
    <w:p w:rsidR="00213D46" w:rsidRPr="006D6AB7" w:rsidRDefault="00213D46">
      <w:pPr>
        <w:pStyle w:val="FootnoteText"/>
      </w:pPr>
      <w:r w:rsidRPr="006D6AB7">
        <w:rPr>
          <w:rStyle w:val="FootnoteReference"/>
        </w:rPr>
        <w:footnoteRef/>
      </w:r>
      <w:r w:rsidRPr="006D6AB7">
        <w:t xml:space="preserve"> </w:t>
      </w:r>
      <w:proofErr w:type="gramStart"/>
      <w:r w:rsidRPr="006D6AB7">
        <w:rPr>
          <w:i/>
        </w:rPr>
        <w:t>Id.</w:t>
      </w:r>
      <w:r w:rsidRPr="006D6AB7">
        <w:t xml:space="preserve"> at 8, 15.</w:t>
      </w:r>
      <w:proofErr w:type="gramEnd"/>
    </w:p>
  </w:footnote>
  <w:footnote w:id="28">
    <w:p w:rsidR="00213D46" w:rsidRPr="006D6AB7" w:rsidRDefault="00213D46" w:rsidP="00B81805">
      <w:pPr>
        <w:pStyle w:val="FootnoteText"/>
      </w:pPr>
      <w:r w:rsidRPr="006D6AB7">
        <w:rPr>
          <w:rStyle w:val="FootnoteReference"/>
        </w:rPr>
        <w:footnoteRef/>
      </w:r>
      <w:r w:rsidRPr="006D6AB7">
        <w:t xml:space="preserve"> </w:t>
      </w:r>
      <w:proofErr w:type="gramStart"/>
      <w:r w:rsidRPr="006D6AB7">
        <w:rPr>
          <w:i/>
        </w:rPr>
        <w:t>Id.</w:t>
      </w:r>
      <w:r w:rsidRPr="006D6AB7">
        <w:t xml:space="preserve"> at 8.</w:t>
      </w:r>
      <w:proofErr w:type="gramEnd"/>
    </w:p>
  </w:footnote>
  <w:footnote w:id="29">
    <w:p w:rsidR="00213D46" w:rsidRPr="006D6AB7" w:rsidRDefault="00213D46" w:rsidP="00CD097C">
      <w:pPr>
        <w:pStyle w:val="FootnoteText"/>
      </w:pPr>
      <w:r w:rsidRPr="006D6AB7">
        <w:rPr>
          <w:rStyle w:val="FootnoteReference"/>
        </w:rPr>
        <w:footnoteRef/>
      </w:r>
      <w:r w:rsidRPr="006D6AB7">
        <w:t xml:space="preserve"> </w:t>
      </w:r>
      <w:proofErr w:type="gramStart"/>
      <w:r w:rsidRPr="006D6AB7">
        <w:rPr>
          <w:i/>
        </w:rPr>
        <w:t>Id.</w:t>
      </w:r>
      <w:r w:rsidRPr="006D6AB7">
        <w:t xml:space="preserve"> at 16.</w:t>
      </w:r>
      <w:proofErr w:type="gramEnd"/>
    </w:p>
  </w:footnote>
  <w:footnote w:id="30">
    <w:p w:rsidR="00213D46" w:rsidRPr="006D6AB7" w:rsidRDefault="00213D46" w:rsidP="00CD097C">
      <w:pPr>
        <w:pStyle w:val="FootnoteText"/>
      </w:pPr>
      <w:r w:rsidRPr="006D6AB7">
        <w:rPr>
          <w:rStyle w:val="FootnoteReference"/>
        </w:rPr>
        <w:footnoteRef/>
      </w:r>
      <w:r w:rsidRPr="006D6AB7">
        <w:t xml:space="preserve"> </w:t>
      </w:r>
      <w:proofErr w:type="gramStart"/>
      <w:r w:rsidRPr="006D6AB7">
        <w:rPr>
          <w:i/>
        </w:rPr>
        <w:t>Id.</w:t>
      </w:r>
      <w:r w:rsidRPr="006D6AB7">
        <w:t xml:space="preserve"> at 5.</w:t>
      </w:r>
      <w:proofErr w:type="gramEnd"/>
    </w:p>
  </w:footnote>
  <w:footnote w:id="31">
    <w:p w:rsidR="00213D46" w:rsidRPr="006D6AB7" w:rsidRDefault="00213D46" w:rsidP="00CD097C">
      <w:pPr>
        <w:pStyle w:val="FootnoteText"/>
      </w:pPr>
      <w:r w:rsidRPr="006D6AB7">
        <w:rPr>
          <w:rStyle w:val="FootnoteReference"/>
        </w:rPr>
        <w:footnoteRef/>
      </w:r>
      <w:r w:rsidRPr="006D6AB7">
        <w:t xml:space="preserve"> </w:t>
      </w:r>
      <w:r w:rsidRPr="006D6AB7">
        <w:rPr>
          <w:i/>
        </w:rPr>
        <w:t>Id.</w:t>
      </w:r>
      <w:r w:rsidRPr="006D6AB7">
        <w:t xml:space="preserve"> at 5 (“Modern information systems respond to data requests rapidly and I many instances in real time”); </w:t>
      </w:r>
      <w:r w:rsidRPr="006D6AB7">
        <w:rPr>
          <w:i/>
        </w:rPr>
        <w:t xml:space="preserve">id. </w:t>
      </w:r>
      <w:proofErr w:type="gramStart"/>
      <w:r w:rsidRPr="006D6AB7">
        <w:t>at</w:t>
      </w:r>
      <w:proofErr w:type="gramEnd"/>
      <w:r w:rsidRPr="006D6AB7">
        <w:t xml:space="preserve"> 8.</w:t>
      </w:r>
    </w:p>
  </w:footnote>
  <w:footnote w:id="32">
    <w:p w:rsidR="00213D46" w:rsidRPr="006D6AB7" w:rsidRDefault="00213D46" w:rsidP="00F10DC8">
      <w:pPr>
        <w:pStyle w:val="FootnoteText"/>
      </w:pPr>
      <w:r w:rsidRPr="006D6AB7">
        <w:rPr>
          <w:rStyle w:val="FootnoteReference"/>
        </w:rPr>
        <w:footnoteRef/>
      </w:r>
      <w:r w:rsidRPr="006D6AB7">
        <w:t xml:space="preserve"> </w:t>
      </w:r>
      <w:proofErr w:type="gramStart"/>
      <w:r w:rsidRPr="006D6AB7">
        <w:rPr>
          <w:i/>
        </w:rPr>
        <w:t>Id.</w:t>
      </w:r>
      <w:r w:rsidRPr="006D6AB7">
        <w:t xml:space="preserve"> at 13.</w:t>
      </w:r>
      <w:proofErr w:type="gramEnd"/>
    </w:p>
  </w:footnote>
  <w:footnote w:id="33">
    <w:p w:rsidR="00213D46" w:rsidRPr="006D6AB7" w:rsidRDefault="00213D46" w:rsidP="00F10DC8">
      <w:pPr>
        <w:pStyle w:val="FootnoteText"/>
      </w:pPr>
      <w:r w:rsidRPr="006D6AB7">
        <w:rPr>
          <w:rStyle w:val="FootnoteReference"/>
        </w:rPr>
        <w:footnoteRef/>
      </w:r>
      <w:r w:rsidRPr="006D6AB7">
        <w:t xml:space="preserve"> </w:t>
      </w:r>
      <w:proofErr w:type="gramStart"/>
      <w:r w:rsidRPr="006D6AB7">
        <w:rPr>
          <w:i/>
        </w:rPr>
        <w:t>Id.</w:t>
      </w:r>
      <w:r w:rsidRPr="006D6AB7">
        <w:t xml:space="preserve"> at 22.</w:t>
      </w:r>
      <w:proofErr w:type="gramEnd"/>
    </w:p>
  </w:footnote>
  <w:footnote w:id="34">
    <w:p w:rsidR="00213D46" w:rsidRPr="006D6AB7" w:rsidRDefault="00213D46">
      <w:pPr>
        <w:pStyle w:val="FootnoteText"/>
      </w:pPr>
      <w:r w:rsidRPr="006D6AB7">
        <w:rPr>
          <w:rStyle w:val="FootnoteReference"/>
        </w:rPr>
        <w:footnoteRef/>
      </w:r>
      <w:r w:rsidRPr="006D6AB7">
        <w:t xml:space="preserve"> </w:t>
      </w:r>
      <w:proofErr w:type="gramStart"/>
      <w:r w:rsidRPr="006D6AB7">
        <w:rPr>
          <w:i/>
        </w:rPr>
        <w:t>Id.</w:t>
      </w:r>
      <w:r w:rsidRPr="006D6AB7">
        <w:rPr>
          <w:rFonts w:cs="Times New Roman"/>
        </w:rPr>
        <w:t xml:space="preserve"> at 14.</w:t>
      </w:r>
      <w:proofErr w:type="gramEnd"/>
      <w:r w:rsidRPr="006D6AB7">
        <w:rPr>
          <w:rFonts w:cs="Times New Roman"/>
        </w:rPr>
        <w:t xml:space="preserve">  </w:t>
      </w:r>
    </w:p>
  </w:footnote>
  <w:footnote w:id="35">
    <w:p w:rsidR="00213D46" w:rsidRPr="006D6AB7" w:rsidRDefault="00213D46">
      <w:pPr>
        <w:pStyle w:val="FootnoteText"/>
      </w:pPr>
      <w:r w:rsidRPr="006D6AB7">
        <w:rPr>
          <w:rStyle w:val="FootnoteReference"/>
        </w:rPr>
        <w:footnoteRef/>
      </w:r>
      <w:r w:rsidRPr="006D6AB7">
        <w:t xml:space="preserve"> </w:t>
      </w:r>
      <w:proofErr w:type="gramStart"/>
      <w:r w:rsidRPr="006D6AB7">
        <w:rPr>
          <w:rFonts w:cs="Times New Roman"/>
          <w:i/>
          <w:kern w:val="24"/>
        </w:rPr>
        <w:t xml:space="preserve">Id. </w:t>
      </w:r>
      <w:r w:rsidRPr="006D6AB7">
        <w:rPr>
          <w:rFonts w:cs="Times New Roman"/>
          <w:kern w:val="24"/>
        </w:rPr>
        <w:t>at 59.</w:t>
      </w:r>
      <w:proofErr w:type="gramEnd"/>
      <w:r w:rsidRPr="006D6AB7">
        <w:rPr>
          <w:rFonts w:cs="Times New Roman"/>
          <w:kern w:val="24"/>
        </w:rPr>
        <w:t xml:space="preserve">  </w:t>
      </w:r>
    </w:p>
  </w:footnote>
  <w:footnote w:id="36">
    <w:p w:rsidR="00213D46" w:rsidRPr="006D6AB7" w:rsidRDefault="00213D46">
      <w:pPr>
        <w:pStyle w:val="FootnoteText"/>
      </w:pPr>
      <w:r w:rsidRPr="006D6AB7">
        <w:rPr>
          <w:rStyle w:val="FootnoteReference"/>
        </w:rPr>
        <w:footnoteRef/>
      </w:r>
      <w:r w:rsidRPr="006D6AB7">
        <w:t xml:space="preserve"> </w:t>
      </w:r>
      <w:proofErr w:type="gramStart"/>
      <w:r w:rsidRPr="006D6AB7">
        <w:rPr>
          <w:rFonts w:cs="Times New Roman"/>
          <w:i/>
          <w:kern w:val="24"/>
        </w:rPr>
        <w:t xml:space="preserve">Id. </w:t>
      </w:r>
      <w:r w:rsidRPr="006D6AB7">
        <w:rPr>
          <w:rFonts w:cs="Times New Roman"/>
          <w:kern w:val="24"/>
        </w:rPr>
        <w:t>at 22.</w:t>
      </w:r>
      <w:proofErr w:type="gramEnd"/>
    </w:p>
  </w:footnote>
  <w:footnote w:id="37">
    <w:p w:rsidR="00213D46" w:rsidRPr="006D6AB7" w:rsidRDefault="00213D46" w:rsidP="00C20313">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 xml:space="preserve">note </w:t>
      </w:r>
      <w:r w:rsidR="004E1FD7">
        <w:t>2</w:t>
      </w:r>
      <w:r w:rsidRPr="006D6AB7">
        <w:t xml:space="preserve">, at 1317; Schwartz, </w:t>
      </w:r>
      <w:r w:rsidRPr="006D6AB7">
        <w:rPr>
          <w:i/>
        </w:rPr>
        <w:t xml:space="preserve">Managing Global Data Privacy, supra </w:t>
      </w:r>
      <w:r w:rsidRPr="006D6AB7">
        <w:t xml:space="preserve">note </w:t>
      </w:r>
      <w:r w:rsidR="004E1FD7">
        <w:t>1</w:t>
      </w:r>
      <w:r w:rsidRPr="006D6AB7">
        <w:t>, at 8.</w:t>
      </w:r>
    </w:p>
  </w:footnote>
  <w:footnote w:id="38">
    <w:p w:rsidR="00213D46" w:rsidRPr="006D6AB7" w:rsidRDefault="00213D46">
      <w:pPr>
        <w:pStyle w:val="FootnoteText"/>
      </w:pPr>
      <w:r w:rsidRPr="006D6AB7">
        <w:rPr>
          <w:rStyle w:val="FootnoteReference"/>
        </w:rPr>
        <w:footnoteRef/>
      </w:r>
      <w:r w:rsidRPr="006D6AB7">
        <w:t xml:space="preserve"> Professor Schwartz provides another example that nicely captures this set of developments.  A </w:t>
      </w:r>
      <w:r w:rsidRPr="006D6AB7">
        <w:rPr>
          <w:rFonts w:cs="Times New Roman"/>
          <w:kern w:val="24"/>
        </w:rPr>
        <w:t xml:space="preserve">marketing firm in Spain obtains a list of potential customers from a global Customer Relationship Management (CRM) system in the U.S.  It shares this list with its call center in Mexico, which uses it to execute a telemarketing campaign in Spain.  The Spanish marketing company then shares the results of its telemarketing effort with the U.S. vendor, which uses it to update the information in its global CRM system.  Schwartz, </w:t>
      </w:r>
      <w:r w:rsidRPr="006D6AB7">
        <w:rPr>
          <w:i/>
        </w:rPr>
        <w:t xml:space="preserve">Managing Global Data Privacy, </w:t>
      </w:r>
      <w:r w:rsidRPr="006D6AB7">
        <w:rPr>
          <w:rFonts w:cs="Times New Roman"/>
          <w:i/>
          <w:kern w:val="24"/>
        </w:rPr>
        <w:t xml:space="preserve">supra </w:t>
      </w:r>
      <w:r w:rsidRPr="006D6AB7">
        <w:rPr>
          <w:rFonts w:cs="Times New Roman"/>
          <w:kern w:val="24"/>
        </w:rPr>
        <w:t xml:space="preserve">note 1, at 13. </w:t>
      </w:r>
    </w:p>
  </w:footnote>
  <w:footnote w:id="39">
    <w:p w:rsidR="00213D46" w:rsidRPr="006D6AB7" w:rsidRDefault="00213D46" w:rsidP="00D75F87">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note 2, at 1325.</w:t>
      </w:r>
    </w:p>
  </w:footnote>
  <w:footnote w:id="40">
    <w:p w:rsidR="00213D46" w:rsidRPr="006D6AB7" w:rsidRDefault="00213D46">
      <w:pPr>
        <w:pStyle w:val="FootnoteText"/>
      </w:pPr>
      <w:r w:rsidRPr="006D6AB7">
        <w:rPr>
          <w:rStyle w:val="FootnoteReference"/>
        </w:rPr>
        <w:footnoteRef/>
      </w:r>
      <w:r w:rsidRPr="006D6AB7">
        <w:t xml:space="preserve"> </w:t>
      </w:r>
      <w:r w:rsidRPr="006D6AB7">
        <w:rPr>
          <w:i/>
        </w:rPr>
        <w:t xml:space="preserve">See </w:t>
      </w:r>
      <w:hyperlink r:id="rId1" w:anchor="principles" w:history="1">
        <w:r w:rsidRPr="006D6AB7">
          <w:rPr>
            <w:rStyle w:val="Hyperlink"/>
            <w:i/>
          </w:rPr>
          <w:t>http://oecdprivacy.org/#principles</w:t>
        </w:r>
      </w:hyperlink>
      <w:r w:rsidRPr="006D6AB7">
        <w:rPr>
          <w:i/>
        </w:rPr>
        <w:t xml:space="preserve"> </w:t>
      </w:r>
      <w:r w:rsidRPr="006D6AB7">
        <w:t>(last visited June 29, 2013) (listing the OECD Privacy Principles).</w:t>
      </w:r>
    </w:p>
  </w:footnote>
  <w:footnote w:id="41">
    <w:p w:rsidR="00213D46" w:rsidRPr="006D6AB7" w:rsidRDefault="00213D46" w:rsidP="00D75F87">
      <w:pPr>
        <w:pStyle w:val="FootnoteText"/>
        <w:rPr>
          <w:i/>
        </w:rPr>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note 2, at 1330-1332.</w:t>
      </w:r>
    </w:p>
  </w:footnote>
  <w:footnote w:id="42">
    <w:p w:rsidR="00213D46" w:rsidRPr="006D6AB7" w:rsidRDefault="00213D46">
      <w:pPr>
        <w:pStyle w:val="FootnoteText"/>
      </w:pPr>
      <w:r w:rsidRPr="006D6AB7">
        <w:rPr>
          <w:rStyle w:val="FootnoteReference"/>
        </w:rPr>
        <w:footnoteRef/>
      </w:r>
      <w:r w:rsidRPr="006D6AB7">
        <w:rPr>
          <w:i/>
        </w:rPr>
        <w:t xml:space="preserve">Id. </w:t>
      </w:r>
      <w:r w:rsidRPr="006D6AB7">
        <w:t xml:space="preserve">at 1332; </w:t>
      </w:r>
    </w:p>
  </w:footnote>
  <w:footnote w:id="43">
    <w:p w:rsidR="00213D46" w:rsidRPr="006D6AB7" w:rsidRDefault="00213D46" w:rsidP="00764605">
      <w:pPr>
        <w:pStyle w:val="FootnoteText"/>
      </w:pPr>
      <w:r w:rsidRPr="006D6AB7">
        <w:rPr>
          <w:rStyle w:val="FootnoteReference"/>
        </w:rPr>
        <w:footnoteRef/>
      </w:r>
      <w:r w:rsidRPr="006D6AB7">
        <w:t xml:space="preserve"> </w:t>
      </w:r>
      <w:proofErr w:type="gramStart"/>
      <w:r w:rsidRPr="006D6AB7">
        <w:rPr>
          <w:i/>
        </w:rPr>
        <w:t xml:space="preserve">Id. </w:t>
      </w:r>
      <w:r w:rsidRPr="006D6AB7">
        <w:t>at 1338.</w:t>
      </w:r>
      <w:proofErr w:type="gramEnd"/>
    </w:p>
  </w:footnote>
  <w:footnote w:id="44">
    <w:p w:rsidR="00213D46" w:rsidRPr="006D6AB7" w:rsidRDefault="00213D46" w:rsidP="00E50216">
      <w:pPr>
        <w:autoSpaceDE w:val="0"/>
        <w:autoSpaceDN w:val="0"/>
        <w:adjustRightInd w:val="0"/>
        <w:spacing w:after="0" w:line="240" w:lineRule="auto"/>
        <w:rPr>
          <w:rFonts w:cs="Georgia"/>
          <w:color w:val="010202"/>
          <w:sz w:val="20"/>
          <w:szCs w:val="20"/>
        </w:rPr>
      </w:pPr>
      <w:r w:rsidRPr="006D6AB7">
        <w:rPr>
          <w:rStyle w:val="FootnoteReference"/>
          <w:sz w:val="20"/>
          <w:szCs w:val="20"/>
        </w:rPr>
        <w:footnoteRef/>
      </w:r>
      <w:proofErr w:type="gramStart"/>
      <w:r w:rsidRPr="006D6AB7">
        <w:rPr>
          <w:rFonts w:cs="Georgia"/>
          <w:color w:val="010202"/>
          <w:sz w:val="20"/>
          <w:szCs w:val="20"/>
        </w:rPr>
        <w:t>Council Directive 95/46, arts.</w:t>
      </w:r>
      <w:proofErr w:type="gramEnd"/>
      <w:r w:rsidRPr="006D6AB7">
        <w:rPr>
          <w:rFonts w:cs="Georgia"/>
          <w:color w:val="010202"/>
          <w:sz w:val="20"/>
          <w:szCs w:val="20"/>
        </w:rPr>
        <w:t xml:space="preserve"> </w:t>
      </w:r>
      <w:proofErr w:type="gramStart"/>
      <w:r w:rsidRPr="006D6AB7">
        <w:rPr>
          <w:rFonts w:cs="Georgia"/>
          <w:color w:val="010202"/>
          <w:sz w:val="20"/>
          <w:szCs w:val="20"/>
        </w:rPr>
        <w:t>10, 11 (notification to data subject), art.</w:t>
      </w:r>
      <w:proofErr w:type="gramEnd"/>
      <w:r w:rsidRPr="006D6AB7">
        <w:rPr>
          <w:rFonts w:cs="Georgia"/>
          <w:color w:val="010202"/>
          <w:sz w:val="20"/>
          <w:szCs w:val="20"/>
        </w:rPr>
        <w:t xml:space="preserve"> </w:t>
      </w:r>
      <w:proofErr w:type="gramStart"/>
      <w:r w:rsidRPr="006D6AB7">
        <w:rPr>
          <w:rFonts w:cs="Georgia"/>
          <w:color w:val="010202"/>
          <w:sz w:val="20"/>
          <w:szCs w:val="20"/>
        </w:rPr>
        <w:t xml:space="preserve">18 </w:t>
      </w:r>
      <w:r w:rsidRPr="006D6AB7">
        <w:rPr>
          <w:sz w:val="20"/>
          <w:szCs w:val="20"/>
        </w:rPr>
        <w:t xml:space="preserve">(notification to DPA), </w:t>
      </w:r>
      <w:r w:rsidRPr="006D6AB7">
        <w:rPr>
          <w:rFonts w:cs="Georgia"/>
          <w:color w:val="010202"/>
          <w:sz w:val="20"/>
          <w:szCs w:val="20"/>
        </w:rPr>
        <w:t>1995 O.J. (L 281) 31 [hereinafter 1995 Directive].</w:t>
      </w:r>
      <w:proofErr w:type="gramEnd"/>
    </w:p>
  </w:footnote>
  <w:footnote w:id="45">
    <w:p w:rsidR="00213D46" w:rsidRPr="006D6AB7" w:rsidRDefault="00213D46">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note 2, at 1330.</w:t>
      </w:r>
    </w:p>
  </w:footnote>
  <w:footnote w:id="46">
    <w:p w:rsidR="00213D46" w:rsidRPr="006D6AB7" w:rsidRDefault="00213D46">
      <w:pPr>
        <w:pStyle w:val="FootnoteText"/>
      </w:pPr>
      <w:r w:rsidRPr="006D6AB7">
        <w:rPr>
          <w:rStyle w:val="FootnoteReference"/>
        </w:rPr>
        <w:footnoteRef/>
      </w:r>
      <w:r w:rsidRPr="006D6AB7">
        <w:t xml:space="preserve"> </w:t>
      </w:r>
      <w:r w:rsidRPr="006D6AB7">
        <w:rPr>
          <w:i/>
        </w:rPr>
        <w:t xml:space="preserve">Id. </w:t>
      </w:r>
      <w:r w:rsidRPr="006D6AB7">
        <w:t>at 1330-31</w:t>
      </w:r>
    </w:p>
  </w:footnote>
  <w:footnote w:id="47">
    <w:p w:rsidR="00213D46" w:rsidRPr="006D6AB7" w:rsidRDefault="00213D46">
      <w:pPr>
        <w:pStyle w:val="FootnoteText"/>
      </w:pPr>
      <w:r w:rsidRPr="006D6AB7">
        <w:rPr>
          <w:rStyle w:val="FootnoteReference"/>
        </w:rPr>
        <w:footnoteRef/>
      </w:r>
      <w:r w:rsidRPr="006D6AB7">
        <w:t xml:space="preserve"> </w:t>
      </w:r>
      <w:r w:rsidRPr="006D6AB7">
        <w:rPr>
          <w:i/>
        </w:rPr>
        <w:t xml:space="preserve">Id. </w:t>
      </w:r>
      <w:r w:rsidRPr="006D6AB7">
        <w:t>at 1334-35.</w:t>
      </w:r>
    </w:p>
  </w:footnote>
  <w:footnote w:id="48">
    <w:p w:rsidR="00213D46" w:rsidRPr="006D6AB7" w:rsidRDefault="00213D46" w:rsidP="002A2E56">
      <w:pPr>
        <w:pStyle w:val="FootnoteText"/>
      </w:pPr>
      <w:r w:rsidRPr="006D6AB7">
        <w:rPr>
          <w:rStyle w:val="FootnoteReference"/>
        </w:rPr>
        <w:footnoteRef/>
      </w:r>
      <w:r w:rsidRPr="006D6AB7">
        <w:t xml:space="preserve"> </w:t>
      </w:r>
      <w:proofErr w:type="gramStart"/>
      <w:r w:rsidRPr="006D6AB7">
        <w:rPr>
          <w:i/>
        </w:rPr>
        <w:t xml:space="preserve">Id. </w:t>
      </w:r>
      <w:r w:rsidRPr="006D6AB7">
        <w:t>at 1318.</w:t>
      </w:r>
      <w:proofErr w:type="gramEnd"/>
      <w:r w:rsidRPr="006D6AB7">
        <w:t xml:space="preserve">  See also Paul M. Schwartz, </w:t>
      </w:r>
      <w:r w:rsidRPr="006D6AB7">
        <w:rPr>
          <w:i/>
        </w:rPr>
        <w:t>European Data Protection Law and Restrictions on International Data Flows</w:t>
      </w:r>
      <w:r w:rsidRPr="006D6AB7">
        <w:t xml:space="preserve">, 80 </w:t>
      </w:r>
      <w:r w:rsidRPr="006D6AB7">
        <w:rPr>
          <w:smallCaps/>
        </w:rPr>
        <w:t xml:space="preserve">Iowa L. Rev. </w:t>
      </w:r>
      <w:r w:rsidRPr="006D6AB7">
        <w:t xml:space="preserve">471 (1995) (transferring data between U.S. and Europe faces significant challenges). </w:t>
      </w:r>
      <w:proofErr w:type="spellStart"/>
      <w:r w:rsidRPr="006D6AB7">
        <w:t>Reidenberg</w:t>
      </w:r>
      <w:proofErr w:type="spellEnd"/>
      <w:r w:rsidRPr="006D6AB7">
        <w:t xml:space="preserve">, </w:t>
      </w:r>
      <w:r w:rsidRPr="006D6AB7">
        <w:rPr>
          <w:i/>
        </w:rPr>
        <w:t xml:space="preserve">International Data Privacy Rules, supra </w:t>
      </w:r>
      <w:r w:rsidRPr="006D6AB7">
        <w:t>note 2, at 1336 (</w:t>
      </w:r>
      <w:r w:rsidRPr="006D6AB7">
        <w:rPr>
          <w:rFonts w:cs="Times New Roman"/>
          <w:kern w:val="24"/>
        </w:rPr>
        <w:t>“The Internet places divergent rules in proximity through architectural features that promote geographic indeterminacy.”)</w:t>
      </w:r>
    </w:p>
  </w:footnote>
  <w:footnote w:id="49">
    <w:p w:rsidR="00213D46" w:rsidRPr="006D6AB7" w:rsidRDefault="00213D46" w:rsidP="00705E7C">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note 2, at 1337 (stating that some jurisdictions have far weaker information privacy rules than others).</w:t>
      </w:r>
    </w:p>
  </w:footnote>
  <w:footnote w:id="50">
    <w:p w:rsidR="00213D46" w:rsidRPr="006D6AB7" w:rsidRDefault="00213D46" w:rsidP="001573CD">
      <w:pPr>
        <w:pStyle w:val="FootnoteText"/>
        <w:rPr>
          <w:i/>
        </w:rPr>
      </w:pPr>
      <w:r w:rsidRPr="006D6AB7">
        <w:rPr>
          <w:rStyle w:val="FootnoteReference"/>
        </w:rPr>
        <w:footnoteRef/>
      </w:r>
      <w:r w:rsidRPr="006D6AB7">
        <w:t xml:space="preserve"> </w:t>
      </w:r>
      <w:proofErr w:type="gramStart"/>
      <w:r w:rsidRPr="006D6AB7">
        <w:rPr>
          <w:i/>
        </w:rPr>
        <w:t xml:space="preserve">Id. </w:t>
      </w:r>
      <w:r w:rsidRPr="006D6AB7">
        <w:t>at 1332.</w:t>
      </w:r>
      <w:proofErr w:type="gramEnd"/>
    </w:p>
  </w:footnote>
  <w:footnote w:id="51">
    <w:p w:rsidR="00213D46" w:rsidRPr="006D6AB7" w:rsidRDefault="00213D46" w:rsidP="004D33C2">
      <w:pPr>
        <w:pStyle w:val="FootnoteText"/>
      </w:pPr>
      <w:r w:rsidRPr="006D6AB7">
        <w:rPr>
          <w:rStyle w:val="FootnoteReference"/>
        </w:rPr>
        <w:footnoteRef/>
      </w:r>
      <w:r w:rsidRPr="006D6AB7">
        <w:t xml:space="preserve"> Dep’t of Commerce, </w:t>
      </w:r>
      <w:r w:rsidRPr="006D6AB7">
        <w:rPr>
          <w:i/>
        </w:rPr>
        <w:t>Commercial Data Privacy</w:t>
      </w:r>
      <w:r w:rsidRPr="006D6AB7">
        <w:t xml:space="preserve">, </w:t>
      </w:r>
      <w:r w:rsidRPr="006D6AB7">
        <w:rPr>
          <w:i/>
        </w:rPr>
        <w:t xml:space="preserve">supra </w:t>
      </w:r>
      <w:r w:rsidRPr="006D6AB7">
        <w:t xml:space="preserve">note 6, at 54 (differing national privacy laws can lead to </w:t>
      </w:r>
      <w:r w:rsidRPr="006D6AB7">
        <w:rPr>
          <w:rFonts w:cs="Times New Roman"/>
          <w:kern w:val="24"/>
        </w:rPr>
        <w:t>“gaps in protection for consumers whose data are transferred across borders, since it is not always clear who has jurisdiction over data and what protections exist for foreign consumers.”)</w:t>
      </w:r>
    </w:p>
  </w:footnote>
  <w:footnote w:id="52">
    <w:p w:rsidR="00213D46" w:rsidRPr="006D6AB7" w:rsidRDefault="00213D46" w:rsidP="007D15DF">
      <w:pPr>
        <w:pStyle w:val="FootnoteText"/>
      </w:pPr>
      <w:r w:rsidRPr="006D6AB7">
        <w:rPr>
          <w:rStyle w:val="FootnoteReference"/>
        </w:rPr>
        <w:footnoteRef/>
      </w:r>
      <w:r w:rsidRPr="006D6AB7">
        <w:t xml:space="preserve"> </w:t>
      </w:r>
      <w:proofErr w:type="gramStart"/>
      <w:r w:rsidRPr="006D6AB7">
        <w:rPr>
          <w:i/>
        </w:rPr>
        <w:t xml:space="preserve">Id. </w:t>
      </w:r>
      <w:r w:rsidRPr="006D6AB7">
        <w:t>at 1323 (when multiple entities interact with data this can</w:t>
      </w:r>
      <w:r w:rsidRPr="006D6AB7">
        <w:rPr>
          <w:rFonts w:cs="Times New Roman"/>
          <w:kern w:val="24"/>
        </w:rPr>
        <w:t xml:space="preserve"> “obscure the responsibility for data protection”).</w:t>
      </w:r>
      <w:proofErr w:type="gramEnd"/>
    </w:p>
  </w:footnote>
  <w:footnote w:id="53">
    <w:p w:rsidR="00213D46" w:rsidRPr="006D6AB7" w:rsidRDefault="00213D46" w:rsidP="00293B12">
      <w:pPr>
        <w:pStyle w:val="FootnoteText"/>
      </w:pPr>
      <w:r w:rsidRPr="006D6AB7">
        <w:rPr>
          <w:rStyle w:val="FootnoteReference"/>
        </w:rPr>
        <w:footnoteRef/>
      </w:r>
      <w:r w:rsidRPr="006D6AB7">
        <w:t xml:space="preserve"> </w:t>
      </w:r>
      <w:proofErr w:type="gramStart"/>
      <w:r w:rsidRPr="006D6AB7">
        <w:rPr>
          <w:i/>
        </w:rPr>
        <w:t xml:space="preserve">Id. </w:t>
      </w:r>
      <w:r w:rsidRPr="006D6AB7">
        <w:t>at 1336 (explaining that multiple nations may assert jurisdiction over a networked set of data transfers).</w:t>
      </w:r>
      <w:proofErr w:type="gramEnd"/>
    </w:p>
  </w:footnote>
  <w:footnote w:id="54">
    <w:p w:rsidR="00213D46" w:rsidRPr="006D6AB7" w:rsidRDefault="00213D46" w:rsidP="00B52F07">
      <w:pPr>
        <w:pStyle w:val="FootnoteText"/>
      </w:pPr>
      <w:r w:rsidRPr="006D6AB7">
        <w:rPr>
          <w:rStyle w:val="FootnoteReference"/>
        </w:rPr>
        <w:footnoteRef/>
      </w:r>
      <w:r w:rsidRPr="006D6AB7">
        <w:t xml:space="preserve"> </w:t>
      </w:r>
      <w:proofErr w:type="gramStart"/>
      <w:r w:rsidRPr="006D6AB7">
        <w:rPr>
          <w:i/>
        </w:rPr>
        <w:t xml:space="preserve">Id. </w:t>
      </w:r>
      <w:r w:rsidRPr="006D6AB7">
        <w:t xml:space="preserve">at 1336 &amp; n. 114, </w:t>
      </w:r>
      <w:r w:rsidRPr="006D6AB7">
        <w:rPr>
          <w:i/>
        </w:rPr>
        <w:t xml:space="preserve">citing </w:t>
      </w:r>
      <w:r w:rsidRPr="006D6AB7">
        <w:t xml:space="preserve">Jack L. Goldsmith, </w:t>
      </w:r>
      <w:proofErr w:type="spellStart"/>
      <w:r w:rsidRPr="006D6AB7">
        <w:rPr>
          <w:i/>
        </w:rPr>
        <w:t>Cyberanarchy</w:t>
      </w:r>
      <w:proofErr w:type="spellEnd"/>
      <w:r w:rsidRPr="006D6AB7">
        <w:t xml:space="preserve">, 65 </w:t>
      </w:r>
      <w:r w:rsidRPr="006D6AB7">
        <w:rPr>
          <w:smallCaps/>
        </w:rPr>
        <w:t xml:space="preserve">U. Chi. L. Rev. </w:t>
      </w:r>
      <w:r w:rsidRPr="006D6AB7">
        <w:t>1199, 1216-21 (1999).</w:t>
      </w:r>
      <w:proofErr w:type="gramEnd"/>
    </w:p>
  </w:footnote>
  <w:footnote w:id="55">
    <w:p w:rsidR="00213D46" w:rsidRPr="006D6AB7" w:rsidRDefault="00213D46" w:rsidP="007B39AF">
      <w:pPr>
        <w:pStyle w:val="FootnoteText"/>
      </w:pPr>
      <w:r w:rsidRPr="006D6AB7">
        <w:rPr>
          <w:rStyle w:val="FootnoteReference"/>
        </w:rPr>
        <w:footnoteRef/>
      </w:r>
      <w:r w:rsidRPr="006D6AB7">
        <w:t xml:space="preserve"> Sunni Yuen, </w:t>
      </w:r>
      <w:r w:rsidRPr="006D6AB7">
        <w:rPr>
          <w:i/>
        </w:rPr>
        <w:t xml:space="preserve">Exporting Trust </w:t>
      </w:r>
      <w:proofErr w:type="gramStart"/>
      <w:r w:rsidRPr="006D6AB7">
        <w:rPr>
          <w:i/>
        </w:rPr>
        <w:t>With</w:t>
      </w:r>
      <w:proofErr w:type="gramEnd"/>
      <w:r w:rsidRPr="006D6AB7">
        <w:rPr>
          <w:i/>
        </w:rPr>
        <w:t xml:space="preserve"> Data: Audited Self-Regulation as a Solution to Cross-Border Data Transfer Protection Concerns in the Offshore Outsourcing Industry, </w:t>
      </w:r>
      <w:r w:rsidRPr="006D6AB7">
        <w:t xml:space="preserve">9 </w:t>
      </w:r>
      <w:r w:rsidRPr="006D6AB7">
        <w:rPr>
          <w:smallCaps/>
        </w:rPr>
        <w:t xml:space="preserve">Colum. Sci. &amp; Tech. L. Rev. </w:t>
      </w:r>
      <w:r w:rsidRPr="006D6AB7">
        <w:t xml:space="preserve">41, 42 (2007-2008). </w:t>
      </w:r>
    </w:p>
  </w:footnote>
  <w:footnote w:id="56">
    <w:p w:rsidR="00213D46" w:rsidRPr="006D6AB7" w:rsidRDefault="00213D46" w:rsidP="00A853C7">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note 2, at 1351.</w:t>
      </w:r>
    </w:p>
  </w:footnote>
  <w:footnote w:id="57">
    <w:p w:rsidR="00213D46" w:rsidRPr="006D6AB7" w:rsidRDefault="00213D46" w:rsidP="00A50B39">
      <w:pPr>
        <w:pStyle w:val="FootnoteText"/>
      </w:pPr>
      <w:r w:rsidRPr="006D6AB7">
        <w:rPr>
          <w:rStyle w:val="FootnoteReference"/>
        </w:rPr>
        <w:footnoteRef/>
      </w:r>
      <w:r w:rsidRPr="006D6AB7">
        <w:t xml:space="preserve"> The White House, </w:t>
      </w:r>
      <w:r w:rsidRPr="006D6AB7">
        <w:rPr>
          <w:i/>
        </w:rPr>
        <w:t xml:space="preserve">Consumer Data Privacy in a Networked World: A Framework for Protecting Privacy and Promoting Innovation in the Global Digital Economy </w:t>
      </w:r>
      <w:r w:rsidRPr="006D6AB7">
        <w:t>31 (Feb. 2012) (</w:t>
      </w:r>
      <w:r w:rsidRPr="006D6AB7">
        <w:rPr>
          <w:rFonts w:cs="Times New Roman"/>
          <w:kern w:val="24"/>
        </w:rPr>
        <w:t>“Differences in national privacy laws create challenges for companies wishing to transfer personal data across national borders.”</w:t>
      </w:r>
      <w:r w:rsidRPr="006D6AB7">
        <w:t>)</w:t>
      </w:r>
    </w:p>
  </w:footnote>
  <w:footnote w:id="58">
    <w:p w:rsidR="00213D46" w:rsidRPr="006D6AB7" w:rsidRDefault="00213D46" w:rsidP="001763A5">
      <w:pPr>
        <w:pStyle w:val="FootnoteText"/>
      </w:pPr>
      <w:r w:rsidRPr="006D6AB7">
        <w:rPr>
          <w:rStyle w:val="FootnoteReference"/>
        </w:rPr>
        <w:footnoteRef/>
      </w:r>
      <w:r w:rsidRPr="006D6AB7">
        <w:t xml:space="preserve"> </w:t>
      </w:r>
      <w:r w:rsidRPr="006D6AB7">
        <w:rPr>
          <w:i/>
        </w:rPr>
        <w:t xml:space="preserve">Id. </w:t>
      </w:r>
      <w:r w:rsidRPr="006D6AB7">
        <w:t>(</w:t>
      </w:r>
      <w:r w:rsidRPr="006D6AB7">
        <w:rPr>
          <w:rFonts w:cs="Times New Roman"/>
          <w:kern w:val="24"/>
        </w:rPr>
        <w:t>“Complying with different privacy laws is burdensome for companies that transfer personal data . . . because legal standards may vary among jurisdictions, and companies may need to obtain multiple regulatory approvals to conduct even routine operations.”)</w:t>
      </w:r>
    </w:p>
  </w:footnote>
  <w:footnote w:id="59">
    <w:p w:rsidR="00213D46" w:rsidRPr="006D6AB7" w:rsidRDefault="00213D46" w:rsidP="00931420">
      <w:pPr>
        <w:pStyle w:val="FootnoteText"/>
      </w:pPr>
      <w:r w:rsidRPr="006D6AB7">
        <w:rPr>
          <w:rStyle w:val="FootnoteReference"/>
        </w:rPr>
        <w:footnoteRef/>
      </w:r>
      <w:r w:rsidRPr="006D6AB7">
        <w:t xml:space="preserve"> Dep’t of Commerce, </w:t>
      </w:r>
      <w:r w:rsidRPr="006D6AB7">
        <w:rPr>
          <w:i/>
        </w:rPr>
        <w:t>Commercial Data Privacy</w:t>
      </w:r>
      <w:r w:rsidRPr="006D6AB7">
        <w:t xml:space="preserve">, </w:t>
      </w:r>
      <w:r w:rsidRPr="006D6AB7">
        <w:rPr>
          <w:i/>
        </w:rPr>
        <w:t xml:space="preserve">supra </w:t>
      </w:r>
      <w:r w:rsidRPr="006D6AB7">
        <w:t>note 6, at 54 (</w:t>
      </w:r>
      <w:r w:rsidRPr="006D6AB7">
        <w:rPr>
          <w:rFonts w:cs="Times New Roman"/>
          <w:kern w:val="24"/>
        </w:rPr>
        <w:t>the lack of cross-border interoperability in privacy principles and regulations creates barriers to cross-border data flow and significant compliance costs for companies.”)</w:t>
      </w:r>
    </w:p>
  </w:footnote>
  <w:footnote w:id="60">
    <w:p w:rsidR="00213D46" w:rsidRPr="006D6AB7" w:rsidRDefault="00213D46" w:rsidP="001E7093">
      <w:pPr>
        <w:pStyle w:val="FootnoteText"/>
      </w:pPr>
      <w:r w:rsidRPr="006D6AB7">
        <w:rPr>
          <w:rStyle w:val="FootnoteReference"/>
        </w:rPr>
        <w:footnoteRef/>
      </w:r>
      <w:r w:rsidRPr="006D6AB7">
        <w:rPr>
          <w:i/>
        </w:rPr>
        <w:t xml:space="preserve">Id. </w:t>
      </w:r>
    </w:p>
  </w:footnote>
  <w:footnote w:id="61">
    <w:p w:rsidR="00213D46" w:rsidRPr="006D6AB7" w:rsidRDefault="00213D46" w:rsidP="001763A5">
      <w:pPr>
        <w:pStyle w:val="FootnoteText"/>
      </w:pPr>
      <w:r w:rsidRPr="006D6AB7">
        <w:rPr>
          <w:rStyle w:val="FootnoteReference"/>
        </w:rPr>
        <w:footnoteRef/>
      </w:r>
      <w:r w:rsidRPr="006D6AB7">
        <w:rPr>
          <w:i/>
        </w:rPr>
        <w:t xml:space="preserve">Id. </w:t>
      </w:r>
    </w:p>
  </w:footnote>
  <w:footnote w:id="62">
    <w:p w:rsidR="00213D46" w:rsidRPr="006D6AB7" w:rsidRDefault="00213D46" w:rsidP="00F507BE">
      <w:pPr>
        <w:pStyle w:val="FootnoteText"/>
      </w:pPr>
      <w:r w:rsidRPr="006D6AB7">
        <w:rPr>
          <w:rStyle w:val="FootnoteReference"/>
        </w:rPr>
        <w:footnoteRef/>
      </w:r>
      <w:r w:rsidRPr="006D6AB7">
        <w:t xml:space="preserve"> </w:t>
      </w:r>
      <w:proofErr w:type="spellStart"/>
      <w:r w:rsidRPr="006D6AB7">
        <w:t>Reidenberg</w:t>
      </w:r>
      <w:proofErr w:type="spellEnd"/>
      <w:r w:rsidRPr="006D6AB7">
        <w:t xml:space="preserve">, </w:t>
      </w:r>
      <w:r w:rsidRPr="006D6AB7">
        <w:rPr>
          <w:i/>
        </w:rPr>
        <w:t xml:space="preserve">International Data Privacy Rules, supra </w:t>
      </w:r>
      <w:r w:rsidRPr="006D6AB7">
        <w:t>note 2, at 1337-38.</w:t>
      </w:r>
    </w:p>
  </w:footnote>
  <w:footnote w:id="63">
    <w:p w:rsidR="00213D46" w:rsidRPr="006D6AB7" w:rsidRDefault="00213D46" w:rsidP="00380877">
      <w:pPr>
        <w:pStyle w:val="FootnoteText"/>
      </w:pPr>
      <w:r w:rsidRPr="006D6AB7">
        <w:rPr>
          <w:rStyle w:val="FootnoteReference"/>
        </w:rPr>
        <w:footnoteRef/>
      </w:r>
      <w:r w:rsidRPr="006D6AB7">
        <w:t xml:space="preserve"> </w:t>
      </w:r>
      <w:proofErr w:type="gramStart"/>
      <w:r w:rsidRPr="006D6AB7">
        <w:rPr>
          <w:i/>
        </w:rPr>
        <w:t xml:space="preserve">Id. </w:t>
      </w:r>
      <w:r w:rsidRPr="006D6AB7">
        <w:t>at 1351.</w:t>
      </w:r>
      <w:proofErr w:type="gramEnd"/>
    </w:p>
  </w:footnote>
  <w:footnote w:id="64">
    <w:p w:rsidR="00213D46" w:rsidRPr="006D6AB7" w:rsidRDefault="00213D46" w:rsidP="00380877">
      <w:pPr>
        <w:pStyle w:val="FootnoteText"/>
      </w:pPr>
      <w:r w:rsidRPr="006D6AB7">
        <w:rPr>
          <w:rStyle w:val="FootnoteReference"/>
        </w:rPr>
        <w:footnoteRef/>
      </w:r>
      <w:r w:rsidRPr="006D6AB7">
        <w:t xml:space="preserve"> Dep’t of Commerce, </w:t>
      </w:r>
      <w:r w:rsidRPr="006D6AB7">
        <w:rPr>
          <w:i/>
        </w:rPr>
        <w:t>Commercial Data Privacy</w:t>
      </w:r>
      <w:r w:rsidRPr="006D6AB7">
        <w:t xml:space="preserve">, </w:t>
      </w:r>
      <w:r w:rsidRPr="006D6AB7">
        <w:rPr>
          <w:i/>
        </w:rPr>
        <w:t xml:space="preserve">supra </w:t>
      </w:r>
      <w:r w:rsidRPr="006D6AB7">
        <w:t xml:space="preserve">note 6, at 15 (stating that the maintenance of </w:t>
      </w:r>
      <w:r w:rsidRPr="006D6AB7">
        <w:rPr>
          <w:rFonts w:cs="Times New Roman"/>
          <w:kern w:val="24"/>
        </w:rPr>
        <w:t xml:space="preserve">“consumer trust is vital to the success of the digital economy”); </w:t>
      </w:r>
      <w:proofErr w:type="spellStart"/>
      <w:r w:rsidRPr="006D6AB7">
        <w:t>Reidenberg</w:t>
      </w:r>
      <w:proofErr w:type="spellEnd"/>
      <w:r w:rsidRPr="006D6AB7">
        <w:t xml:space="preserve">, </w:t>
      </w:r>
      <w:r w:rsidRPr="006D6AB7">
        <w:rPr>
          <w:i/>
        </w:rPr>
        <w:t xml:space="preserve">International Data Privacy Rules, supra </w:t>
      </w:r>
      <w:r w:rsidRPr="006D6AB7">
        <w:t>note 2, at 1351 (</w:t>
      </w:r>
      <w:r w:rsidRPr="006D6AB7">
        <w:rPr>
          <w:rFonts w:cs="Times New Roman"/>
          <w:kern w:val="24"/>
        </w:rPr>
        <w:t>“The uncertainty and instability of the protection of individuals will be harmful to international data flows and the wider development of a robust online community.”)</w:t>
      </w:r>
    </w:p>
  </w:footnote>
  <w:footnote w:id="65">
    <w:p w:rsidR="00213D46" w:rsidRPr="006D6AB7" w:rsidRDefault="00213D46" w:rsidP="003B18E8">
      <w:pPr>
        <w:pStyle w:val="FootnoteText"/>
      </w:pPr>
      <w:r w:rsidRPr="006D6AB7">
        <w:rPr>
          <w:rStyle w:val="FootnoteReference"/>
        </w:rPr>
        <w:footnoteRef/>
      </w:r>
      <w:r w:rsidRPr="006D6AB7">
        <w:t xml:space="preserve"> Dep’t of Commerce, </w:t>
      </w:r>
      <w:r w:rsidRPr="006D6AB7">
        <w:rPr>
          <w:i/>
        </w:rPr>
        <w:t>Commercial Data Privacy</w:t>
      </w:r>
      <w:r w:rsidRPr="006D6AB7">
        <w:t xml:space="preserve">, </w:t>
      </w:r>
      <w:r w:rsidRPr="006D6AB7">
        <w:rPr>
          <w:i/>
        </w:rPr>
        <w:t xml:space="preserve">supra </w:t>
      </w:r>
      <w:r w:rsidRPr="006D6AB7">
        <w:t>note 6, 56.</w:t>
      </w:r>
    </w:p>
  </w:footnote>
  <w:footnote w:id="66">
    <w:p w:rsidR="00213D46" w:rsidRPr="006D6AB7" w:rsidRDefault="00213D46" w:rsidP="005A76C8">
      <w:pPr>
        <w:pStyle w:val="FootnoteText"/>
      </w:pPr>
      <w:r w:rsidRPr="006D6AB7">
        <w:rPr>
          <w:rStyle w:val="FootnoteReference"/>
        </w:rPr>
        <w:footnoteRef/>
      </w:r>
      <w:r w:rsidRPr="006D6AB7">
        <w:t xml:space="preserve">White House, </w:t>
      </w:r>
      <w:r w:rsidRPr="006D6AB7">
        <w:rPr>
          <w:i/>
        </w:rPr>
        <w:t>Consumer Data Privacy</w:t>
      </w:r>
      <w:r w:rsidRPr="006D6AB7">
        <w:t xml:space="preserve">, </w:t>
      </w:r>
      <w:proofErr w:type="gramStart"/>
      <w:r w:rsidRPr="006D6AB7">
        <w:rPr>
          <w:i/>
        </w:rPr>
        <w:t>supra ,</w:t>
      </w:r>
      <w:proofErr w:type="gramEnd"/>
      <w:r w:rsidRPr="006D6AB7">
        <w:rPr>
          <w:i/>
        </w:rPr>
        <w:t xml:space="preserve"> </w:t>
      </w:r>
      <w:r w:rsidRPr="006D6AB7">
        <w:t>note 57, at 31 (</w:t>
      </w:r>
      <w:r w:rsidRPr="006D6AB7">
        <w:rPr>
          <w:rFonts w:cs="Times New Roman"/>
          <w:kern w:val="24"/>
        </w:rPr>
        <w:t xml:space="preserve">“it is critical to the continued growth of the digital economy that [governments] strive to create interoperability between privacy regimes”); </w:t>
      </w:r>
      <w:r w:rsidRPr="006D6AB7">
        <w:t xml:space="preserve">Dep’t of Commerce, </w:t>
      </w:r>
      <w:r w:rsidRPr="006D6AB7">
        <w:rPr>
          <w:i/>
        </w:rPr>
        <w:t>Commercial Data Privacy</w:t>
      </w:r>
      <w:r w:rsidRPr="006D6AB7">
        <w:t xml:space="preserve">, </w:t>
      </w:r>
      <w:r w:rsidRPr="006D6AB7">
        <w:rPr>
          <w:i/>
        </w:rPr>
        <w:t xml:space="preserve">supra </w:t>
      </w:r>
      <w:r w:rsidRPr="006D6AB7">
        <w:t>note 6, at 14 (</w:t>
      </w:r>
      <w:r w:rsidRPr="006D6AB7">
        <w:rPr>
          <w:rFonts w:cs="Times New Roman"/>
          <w:kern w:val="24"/>
        </w:rPr>
        <w:t xml:space="preserve">“Improving the global interoperability of data privacy approaches could enable increased exports of U.S. services and strengthen the American economy.”) </w:t>
      </w:r>
    </w:p>
  </w:footnote>
  <w:footnote w:id="67">
    <w:p w:rsidR="00213D46" w:rsidRPr="006D6AB7" w:rsidRDefault="00213D46">
      <w:pPr>
        <w:pStyle w:val="FootnoteText"/>
      </w:pPr>
      <w:r w:rsidRPr="006D6AB7">
        <w:rPr>
          <w:rStyle w:val="FootnoteReference"/>
        </w:rPr>
        <w:footnoteRef/>
      </w:r>
      <w:r w:rsidRPr="006D6AB7">
        <w:t xml:space="preserve"> </w:t>
      </w:r>
      <w:r w:rsidRPr="006D6AB7">
        <w:rPr>
          <w:i/>
        </w:rPr>
        <w:t xml:space="preserve">Id. </w:t>
      </w:r>
      <w:r w:rsidRPr="006D6AB7">
        <w:t xml:space="preserve">at 56 (stating </w:t>
      </w:r>
      <w:r w:rsidRPr="006D6AB7">
        <w:rPr>
          <w:rFonts w:cs="Times New Roman"/>
          <w:kern w:val="24"/>
        </w:rPr>
        <w:t xml:space="preserve">that “mutual recognition of substantively similar commercial data privacy laws around the world can build increased practical protection for consumers and reduce barriers and compliance costs for business”). </w:t>
      </w:r>
    </w:p>
  </w:footnote>
  <w:footnote w:id="68">
    <w:p w:rsidR="00213D46" w:rsidRPr="006D6AB7" w:rsidRDefault="00213D46" w:rsidP="00E4174D">
      <w:pPr>
        <w:pStyle w:val="FootnoteText"/>
      </w:pPr>
      <w:r w:rsidRPr="006D6AB7">
        <w:rPr>
          <w:rStyle w:val="FootnoteReference"/>
        </w:rPr>
        <w:footnoteRef/>
      </w:r>
      <w:r w:rsidRPr="006D6AB7">
        <w:t xml:space="preserve"> </w:t>
      </w:r>
      <w:r w:rsidR="004E1FD7" w:rsidRPr="006D6AB7">
        <w:t xml:space="preserve">Dep’t of Commerce, </w:t>
      </w:r>
      <w:r w:rsidR="004E1FD7" w:rsidRPr="006D6AB7">
        <w:rPr>
          <w:i/>
        </w:rPr>
        <w:t>Commercial Data Privacy</w:t>
      </w:r>
      <w:r w:rsidR="004E1FD7" w:rsidRPr="006D6AB7">
        <w:t xml:space="preserve">, </w:t>
      </w:r>
      <w:r w:rsidR="004E1FD7" w:rsidRPr="006D6AB7">
        <w:rPr>
          <w:i/>
        </w:rPr>
        <w:t xml:space="preserve">supra </w:t>
      </w:r>
      <w:proofErr w:type="gramStart"/>
      <w:r w:rsidR="004E1FD7" w:rsidRPr="006D6AB7">
        <w:t>note</w:t>
      </w:r>
      <w:proofErr w:type="gramEnd"/>
      <w:r w:rsidR="004E1FD7" w:rsidRPr="006D6AB7">
        <w:t xml:space="preserve"> 6</w:t>
      </w:r>
      <w:r w:rsidR="004E1FD7">
        <w:t xml:space="preserve">, </w:t>
      </w:r>
      <w:r w:rsidRPr="006D6AB7">
        <w:t>at 57.</w:t>
      </w:r>
    </w:p>
  </w:footnote>
  <w:footnote w:id="69">
    <w:p w:rsidR="00213D46" w:rsidRPr="006D6AB7" w:rsidRDefault="00213D46" w:rsidP="00696E5C">
      <w:pPr>
        <w:autoSpaceDE w:val="0"/>
        <w:autoSpaceDN w:val="0"/>
        <w:adjustRightInd w:val="0"/>
        <w:spacing w:after="0" w:line="240" w:lineRule="auto"/>
        <w:rPr>
          <w:rFonts w:cs="TimesNewRomanPSMT"/>
          <w:sz w:val="20"/>
          <w:szCs w:val="20"/>
        </w:rPr>
      </w:pPr>
      <w:r w:rsidRPr="006D6AB7">
        <w:rPr>
          <w:rStyle w:val="FootnoteReference"/>
          <w:sz w:val="20"/>
          <w:szCs w:val="20"/>
        </w:rPr>
        <w:footnoteRef/>
      </w:r>
      <w:r w:rsidRPr="006D6AB7">
        <w:rPr>
          <w:sz w:val="20"/>
          <w:szCs w:val="20"/>
        </w:rPr>
        <w:t xml:space="preserve"> </w:t>
      </w:r>
      <w:r w:rsidRPr="006D6AB7">
        <w:rPr>
          <w:i/>
          <w:sz w:val="20"/>
          <w:szCs w:val="20"/>
        </w:rPr>
        <w:t>See generally</w:t>
      </w:r>
      <w:r w:rsidRPr="006D6AB7">
        <w:rPr>
          <w:sz w:val="20"/>
          <w:szCs w:val="20"/>
        </w:rPr>
        <w:t xml:space="preserve">, </w:t>
      </w:r>
      <w:r w:rsidRPr="006D6AB7">
        <w:rPr>
          <w:smallCaps/>
          <w:sz w:val="20"/>
          <w:szCs w:val="20"/>
        </w:rPr>
        <w:t>Christopher T. Marsden, Internet Co-Regulation: European Law, Regulatory Governance and Legitimacy in Cyberspace</w:t>
      </w:r>
      <w:r w:rsidRPr="006D6AB7">
        <w:rPr>
          <w:sz w:val="20"/>
          <w:szCs w:val="20"/>
        </w:rPr>
        <w:t xml:space="preserve"> 46 (2011) (distinguishing between government regulation, self-regulation, and co-regulation);</w:t>
      </w:r>
      <w:r w:rsidRPr="006D6AB7">
        <w:rPr>
          <w:smallCaps/>
          <w:sz w:val="20"/>
          <w:szCs w:val="20"/>
        </w:rPr>
        <w:t xml:space="preserve"> Hans-</w:t>
      </w:r>
      <w:proofErr w:type="spellStart"/>
      <w:r w:rsidRPr="006D6AB7">
        <w:rPr>
          <w:smallCaps/>
          <w:sz w:val="20"/>
          <w:szCs w:val="20"/>
        </w:rPr>
        <w:t>Bredow</w:t>
      </w:r>
      <w:proofErr w:type="spellEnd"/>
      <w:r w:rsidRPr="006D6AB7">
        <w:rPr>
          <w:smallCaps/>
          <w:sz w:val="20"/>
          <w:szCs w:val="20"/>
        </w:rPr>
        <w:t>-</w:t>
      </w:r>
      <w:proofErr w:type="spellStart"/>
      <w:r w:rsidRPr="006D6AB7">
        <w:rPr>
          <w:smallCaps/>
          <w:sz w:val="20"/>
          <w:szCs w:val="20"/>
        </w:rPr>
        <w:t>Institut</w:t>
      </w:r>
      <w:proofErr w:type="spellEnd"/>
      <w:r w:rsidRPr="006D6AB7">
        <w:rPr>
          <w:smallCaps/>
          <w:sz w:val="20"/>
          <w:szCs w:val="20"/>
        </w:rPr>
        <w:t xml:space="preserve">, Final Report: Study on Co-Regulation Measures in the Media Sector 17 (2006) </w:t>
      </w:r>
      <w:r w:rsidRPr="006D6AB7">
        <w:rPr>
          <w:rFonts w:cs="TimesNewRomanPSMT"/>
          <w:sz w:val="20"/>
          <w:szCs w:val="20"/>
        </w:rPr>
        <w:t xml:space="preserve">(same); Dennis D. Hirsch, </w:t>
      </w:r>
      <w:r w:rsidRPr="006D6AB7">
        <w:rPr>
          <w:rFonts w:cs="TimesNewRomanPSMT"/>
          <w:i/>
          <w:sz w:val="20"/>
          <w:szCs w:val="20"/>
        </w:rPr>
        <w:t>The Law and Policy of Online Privacy: Regulation, Self-Regulation or Co-Regulation?</w:t>
      </w:r>
      <w:r w:rsidRPr="006D6AB7">
        <w:rPr>
          <w:rFonts w:cs="TimesNewRomanPSMT"/>
          <w:sz w:val="20"/>
          <w:szCs w:val="20"/>
        </w:rPr>
        <w:t xml:space="preserve">, 34 </w:t>
      </w:r>
      <w:r w:rsidRPr="006D6AB7">
        <w:rPr>
          <w:rFonts w:cs="TimesNewRomanPSMT"/>
          <w:smallCaps/>
          <w:sz w:val="20"/>
          <w:szCs w:val="20"/>
        </w:rPr>
        <w:t xml:space="preserve">Seattle U. L. Rev. </w:t>
      </w:r>
      <w:r w:rsidRPr="006D6AB7">
        <w:rPr>
          <w:rFonts w:cs="TimesNewRomanPSMT"/>
          <w:sz w:val="20"/>
          <w:szCs w:val="20"/>
        </w:rPr>
        <w:t xml:space="preserve">439, 465 (2011) (same) [hereinafter, Hirsch, </w:t>
      </w:r>
      <w:r w:rsidRPr="006D6AB7">
        <w:rPr>
          <w:rFonts w:cs="TimesNewRomanPSMT"/>
          <w:i/>
          <w:sz w:val="20"/>
          <w:szCs w:val="20"/>
        </w:rPr>
        <w:t>Online Privacy</w:t>
      </w:r>
      <w:r w:rsidRPr="006D6AB7">
        <w:rPr>
          <w:rFonts w:cs="TimesNewRomanPSMT"/>
          <w:sz w:val="20"/>
          <w:szCs w:val="20"/>
        </w:rPr>
        <w:t>]; Bert-</w:t>
      </w:r>
      <w:proofErr w:type="spellStart"/>
      <w:r w:rsidRPr="006D6AB7">
        <w:rPr>
          <w:rFonts w:cs="TimesNewRomanPSMT"/>
          <w:sz w:val="20"/>
          <w:szCs w:val="20"/>
        </w:rPr>
        <w:t>Jaap</w:t>
      </w:r>
      <w:proofErr w:type="spellEnd"/>
      <w:r w:rsidRPr="006D6AB7">
        <w:rPr>
          <w:rFonts w:cs="TimesNewRomanPSMT"/>
          <w:sz w:val="20"/>
          <w:szCs w:val="20"/>
        </w:rPr>
        <w:t xml:space="preserve"> </w:t>
      </w:r>
      <w:proofErr w:type="spellStart"/>
      <w:r w:rsidRPr="006D6AB7">
        <w:rPr>
          <w:rFonts w:cs="TimesNewRomanPSMT"/>
          <w:sz w:val="20"/>
          <w:szCs w:val="20"/>
        </w:rPr>
        <w:t>Koops</w:t>
      </w:r>
      <w:proofErr w:type="spellEnd"/>
      <w:r w:rsidRPr="006D6AB7">
        <w:rPr>
          <w:rFonts w:cs="TimesNewRomanPSMT"/>
          <w:sz w:val="20"/>
          <w:szCs w:val="20"/>
        </w:rPr>
        <w:t xml:space="preserve">, Miriam Lips, </w:t>
      </w:r>
      <w:proofErr w:type="spellStart"/>
      <w:r w:rsidRPr="006D6AB7">
        <w:rPr>
          <w:rFonts w:cs="TimesNewRomanPSMT"/>
          <w:sz w:val="20"/>
          <w:szCs w:val="20"/>
        </w:rPr>
        <w:t>Sjaak</w:t>
      </w:r>
      <w:proofErr w:type="spellEnd"/>
      <w:r w:rsidRPr="006D6AB7">
        <w:rPr>
          <w:rFonts w:cs="TimesNewRomanPSMT"/>
          <w:sz w:val="20"/>
          <w:szCs w:val="20"/>
        </w:rPr>
        <w:t xml:space="preserve"> </w:t>
      </w:r>
      <w:proofErr w:type="spellStart"/>
      <w:r w:rsidRPr="006D6AB7">
        <w:rPr>
          <w:rFonts w:cs="TimesNewRomanPSMT"/>
          <w:sz w:val="20"/>
          <w:szCs w:val="20"/>
        </w:rPr>
        <w:t>Nouwt</w:t>
      </w:r>
      <w:proofErr w:type="spellEnd"/>
      <w:r w:rsidRPr="006D6AB7">
        <w:rPr>
          <w:rFonts w:cs="TimesNewRomanPSMT"/>
          <w:sz w:val="20"/>
          <w:szCs w:val="20"/>
        </w:rPr>
        <w:t xml:space="preserve">, </w:t>
      </w:r>
      <w:proofErr w:type="spellStart"/>
      <w:r w:rsidRPr="006D6AB7">
        <w:rPr>
          <w:rFonts w:cs="TimesNewRomanPSMT"/>
          <w:sz w:val="20"/>
          <w:szCs w:val="20"/>
        </w:rPr>
        <w:t>Corien</w:t>
      </w:r>
      <w:proofErr w:type="spellEnd"/>
      <w:r w:rsidRPr="006D6AB7">
        <w:rPr>
          <w:rFonts w:cs="TimesNewRomanPSMT"/>
          <w:sz w:val="20"/>
          <w:szCs w:val="20"/>
        </w:rPr>
        <w:t xml:space="preserve"> </w:t>
      </w:r>
      <w:proofErr w:type="spellStart"/>
      <w:r w:rsidRPr="006D6AB7">
        <w:rPr>
          <w:rFonts w:cs="TimesNewRomanPSMT"/>
          <w:sz w:val="20"/>
          <w:szCs w:val="20"/>
        </w:rPr>
        <w:t>Prins</w:t>
      </w:r>
      <w:proofErr w:type="spellEnd"/>
      <w:r w:rsidRPr="006D6AB7">
        <w:rPr>
          <w:rFonts w:cs="TimesNewRomanPSMT"/>
          <w:sz w:val="20"/>
          <w:szCs w:val="20"/>
        </w:rPr>
        <w:t xml:space="preserve"> &amp; Maurice </w:t>
      </w:r>
      <w:proofErr w:type="spellStart"/>
      <w:r w:rsidRPr="006D6AB7">
        <w:rPr>
          <w:rFonts w:cs="TimesNewRomanPSMT"/>
          <w:sz w:val="20"/>
          <w:szCs w:val="20"/>
        </w:rPr>
        <w:t>Schellekens</w:t>
      </w:r>
      <w:proofErr w:type="spellEnd"/>
      <w:r w:rsidRPr="006D6AB7">
        <w:rPr>
          <w:rFonts w:cs="TimesNewRomanPSMT"/>
          <w:sz w:val="20"/>
          <w:szCs w:val="20"/>
        </w:rPr>
        <w:t xml:space="preserve">, </w:t>
      </w:r>
      <w:r w:rsidRPr="006D6AB7">
        <w:rPr>
          <w:rFonts w:cs="TimesNewRomanPS-ItalicMT"/>
          <w:i/>
          <w:iCs/>
          <w:sz w:val="20"/>
          <w:szCs w:val="20"/>
        </w:rPr>
        <w:t>Should Self-Regulation be the Starting Point?</w:t>
      </w:r>
      <w:r w:rsidRPr="006D6AB7">
        <w:rPr>
          <w:rFonts w:cs="TimesNewRomanPSMT"/>
          <w:sz w:val="20"/>
          <w:szCs w:val="20"/>
        </w:rPr>
        <w:t xml:space="preserve">, </w:t>
      </w:r>
      <w:r w:rsidRPr="006D6AB7">
        <w:rPr>
          <w:rFonts w:cs="TimesNewRomanPS-ItalicMT"/>
          <w:i/>
          <w:iCs/>
          <w:sz w:val="20"/>
          <w:szCs w:val="20"/>
        </w:rPr>
        <w:t xml:space="preserve">in </w:t>
      </w:r>
      <w:r w:rsidRPr="006D6AB7">
        <w:rPr>
          <w:rFonts w:cs="TimesNewRomanPS-ItalicMT"/>
          <w:iCs/>
          <w:smallCaps/>
          <w:sz w:val="20"/>
          <w:szCs w:val="20"/>
        </w:rPr>
        <w:t xml:space="preserve">Starting Point for ITC Regulation: Deconstructing Prevalent Policy One-Liners </w:t>
      </w:r>
      <w:r w:rsidRPr="006D6AB7">
        <w:rPr>
          <w:rFonts w:cs="TimesNewRomanPSMT"/>
          <w:sz w:val="20"/>
          <w:szCs w:val="20"/>
        </w:rPr>
        <w:t>109 (</w:t>
      </w:r>
      <w:proofErr w:type="spellStart"/>
      <w:r w:rsidRPr="006D6AB7">
        <w:rPr>
          <w:rFonts w:cs="TimesNewRomanPSMT"/>
          <w:sz w:val="20"/>
          <w:szCs w:val="20"/>
        </w:rPr>
        <w:t>Koops</w:t>
      </w:r>
      <w:proofErr w:type="spellEnd"/>
      <w:r w:rsidRPr="006D6AB7">
        <w:rPr>
          <w:rFonts w:cs="TimesNewRomanPSMT"/>
          <w:sz w:val="20"/>
          <w:szCs w:val="20"/>
        </w:rPr>
        <w:t xml:space="preserve">, </w:t>
      </w:r>
      <w:proofErr w:type="spellStart"/>
      <w:r w:rsidRPr="006D6AB7">
        <w:rPr>
          <w:rFonts w:cs="TimesNewRomanPSMT"/>
          <w:sz w:val="20"/>
          <w:szCs w:val="20"/>
        </w:rPr>
        <w:t>Prins</w:t>
      </w:r>
      <w:proofErr w:type="spellEnd"/>
      <w:r w:rsidRPr="006D6AB7">
        <w:rPr>
          <w:rFonts w:cs="TimesNewRomanPSMT"/>
          <w:sz w:val="20"/>
          <w:szCs w:val="20"/>
        </w:rPr>
        <w:t xml:space="preserve">, </w:t>
      </w:r>
      <w:proofErr w:type="spellStart"/>
      <w:r w:rsidRPr="006D6AB7">
        <w:rPr>
          <w:rFonts w:cs="TimesNewRomanPSMT"/>
          <w:sz w:val="20"/>
          <w:szCs w:val="20"/>
        </w:rPr>
        <w:t>Schellekens</w:t>
      </w:r>
      <w:proofErr w:type="spellEnd"/>
      <w:r w:rsidRPr="006D6AB7">
        <w:rPr>
          <w:rFonts w:cs="TimesNewRomanPSMT"/>
          <w:sz w:val="20"/>
          <w:szCs w:val="20"/>
        </w:rPr>
        <w:t xml:space="preserve"> &amp; Lips eds., 2006) (same); </w:t>
      </w:r>
      <w:r w:rsidRPr="006D6AB7">
        <w:rPr>
          <w:sz w:val="20"/>
          <w:szCs w:val="20"/>
        </w:rPr>
        <w:t xml:space="preserve">Ira Rubinstein, </w:t>
      </w:r>
      <w:r w:rsidRPr="006D6AB7">
        <w:rPr>
          <w:i/>
          <w:sz w:val="20"/>
          <w:szCs w:val="20"/>
        </w:rPr>
        <w:t>Privacy and Regulatory Innovation: Moving Beyond Regulatory Codes</w:t>
      </w:r>
      <w:r w:rsidRPr="006D6AB7">
        <w:rPr>
          <w:sz w:val="20"/>
          <w:szCs w:val="20"/>
        </w:rPr>
        <w:t xml:space="preserve">, 6  </w:t>
      </w:r>
      <w:r w:rsidRPr="006D6AB7">
        <w:rPr>
          <w:smallCaps/>
          <w:sz w:val="20"/>
          <w:szCs w:val="20"/>
        </w:rPr>
        <w:t xml:space="preserve">I/S: J. L. &amp; P. for Info. </w:t>
      </w:r>
      <w:proofErr w:type="spellStart"/>
      <w:r w:rsidRPr="006D6AB7">
        <w:rPr>
          <w:smallCaps/>
          <w:sz w:val="20"/>
          <w:szCs w:val="20"/>
        </w:rPr>
        <w:t>Soc’y</w:t>
      </w:r>
      <w:proofErr w:type="spellEnd"/>
      <w:r w:rsidRPr="006D6AB7">
        <w:rPr>
          <w:smallCaps/>
          <w:sz w:val="20"/>
          <w:szCs w:val="20"/>
        </w:rPr>
        <w:t xml:space="preserve">, </w:t>
      </w:r>
      <w:r w:rsidRPr="006D6AB7">
        <w:rPr>
          <w:sz w:val="20"/>
          <w:szCs w:val="20"/>
        </w:rPr>
        <w:t xml:space="preserve">355, 357 (2010); </w:t>
      </w:r>
      <w:r w:rsidRPr="006D6AB7">
        <w:rPr>
          <w:rFonts w:cs="TimesNewRomanPSMT"/>
          <w:sz w:val="20"/>
          <w:szCs w:val="20"/>
        </w:rPr>
        <w:t xml:space="preserve">Neil </w:t>
      </w:r>
      <w:proofErr w:type="spellStart"/>
      <w:r w:rsidRPr="006D6AB7">
        <w:rPr>
          <w:rFonts w:cs="TimesNewRomanPSMT"/>
          <w:sz w:val="20"/>
          <w:szCs w:val="20"/>
        </w:rPr>
        <w:t>Gunningham</w:t>
      </w:r>
      <w:proofErr w:type="spellEnd"/>
      <w:r w:rsidRPr="006D6AB7">
        <w:rPr>
          <w:rFonts w:cs="TimesNewRomanPSMT"/>
          <w:sz w:val="20"/>
          <w:szCs w:val="20"/>
        </w:rPr>
        <w:t xml:space="preserve"> &amp; Joseph Rees, </w:t>
      </w:r>
      <w:r w:rsidRPr="006D6AB7">
        <w:rPr>
          <w:rFonts w:cs="TimesNewRomanPSMT"/>
          <w:i/>
          <w:sz w:val="20"/>
          <w:szCs w:val="20"/>
        </w:rPr>
        <w:t xml:space="preserve">Industry Self-Regulation: An Institutional Perspective, </w:t>
      </w:r>
      <w:r w:rsidRPr="006D6AB7">
        <w:rPr>
          <w:rFonts w:cs="TimesNewRomanPSMT"/>
          <w:sz w:val="20"/>
          <w:szCs w:val="20"/>
        </w:rPr>
        <w:t xml:space="preserve">19 </w:t>
      </w:r>
      <w:r w:rsidRPr="006D6AB7">
        <w:rPr>
          <w:rFonts w:cs="TimesNewRomanPSMT"/>
          <w:smallCaps/>
          <w:sz w:val="20"/>
          <w:szCs w:val="20"/>
        </w:rPr>
        <w:t xml:space="preserve">L. &amp; </w:t>
      </w:r>
      <w:proofErr w:type="spellStart"/>
      <w:r w:rsidRPr="006D6AB7">
        <w:rPr>
          <w:rFonts w:cs="TimesNewRomanPSMT"/>
          <w:smallCaps/>
          <w:sz w:val="20"/>
          <w:szCs w:val="20"/>
        </w:rPr>
        <w:t>Pol’y</w:t>
      </w:r>
      <w:proofErr w:type="spellEnd"/>
      <w:r w:rsidRPr="006D6AB7">
        <w:rPr>
          <w:rFonts w:cs="TimesNewRomanPSMT"/>
          <w:smallCaps/>
          <w:sz w:val="20"/>
          <w:szCs w:val="20"/>
        </w:rPr>
        <w:t xml:space="preserve"> </w:t>
      </w:r>
      <w:r w:rsidRPr="006D6AB7">
        <w:rPr>
          <w:rFonts w:cs="TimesNewRomanPSMT"/>
          <w:sz w:val="20"/>
          <w:szCs w:val="20"/>
        </w:rPr>
        <w:t>363, 365-66 (1997).</w:t>
      </w:r>
    </w:p>
  </w:footnote>
  <w:footnote w:id="70">
    <w:p w:rsidR="00213D46" w:rsidRPr="006D6AB7" w:rsidRDefault="00213D46">
      <w:pPr>
        <w:pStyle w:val="FootnoteText"/>
      </w:pPr>
      <w:r w:rsidRPr="006D6AB7">
        <w:rPr>
          <w:rStyle w:val="FootnoteReference"/>
        </w:rPr>
        <w:footnoteRef/>
      </w:r>
      <w:r w:rsidRPr="006D6AB7">
        <w:t xml:space="preserve"> </w:t>
      </w:r>
      <w:r w:rsidRPr="006D6AB7">
        <w:rPr>
          <w:smallCaps/>
        </w:rPr>
        <w:t xml:space="preserve">Rees, </w:t>
      </w:r>
      <w:r w:rsidRPr="006D6AB7">
        <w:rPr>
          <w:i/>
        </w:rPr>
        <w:t xml:space="preserve">supra </w:t>
      </w:r>
      <w:r w:rsidRPr="006D6AB7">
        <w:t xml:space="preserve">note 69, at 9; Margot Priest, </w:t>
      </w:r>
      <w:r w:rsidRPr="006D6AB7">
        <w:rPr>
          <w:i/>
        </w:rPr>
        <w:t xml:space="preserve">The Privatization of Regulation: Five Models of Self-Regulation, </w:t>
      </w:r>
      <w:r w:rsidRPr="006D6AB7">
        <w:t xml:space="preserve">29 </w:t>
      </w:r>
      <w:r w:rsidRPr="006D6AB7">
        <w:rPr>
          <w:smallCaps/>
        </w:rPr>
        <w:t xml:space="preserve">Ottawa L. Rev. </w:t>
      </w:r>
      <w:r w:rsidRPr="006D6AB7">
        <w:t xml:space="preserve">233, 237-38 (1997-98); Koops, et al., </w:t>
      </w:r>
      <w:r w:rsidRPr="006D6AB7">
        <w:rPr>
          <w:i/>
        </w:rPr>
        <w:t xml:space="preserve">supra </w:t>
      </w:r>
      <w:r w:rsidRPr="006D6AB7">
        <w:t>note 69.</w:t>
      </w:r>
    </w:p>
  </w:footnote>
  <w:footnote w:id="71">
    <w:p w:rsidR="00213D46" w:rsidRPr="006D6AB7" w:rsidRDefault="00213D46">
      <w:pPr>
        <w:pStyle w:val="FootnoteText"/>
      </w:pPr>
      <w:r w:rsidRPr="006D6AB7">
        <w:rPr>
          <w:rStyle w:val="FootnoteReference"/>
        </w:rPr>
        <w:footnoteRef/>
      </w:r>
      <w:r w:rsidRPr="006D6AB7">
        <w:t xml:space="preserve"> </w:t>
      </w:r>
      <w:r w:rsidRPr="006D6AB7">
        <w:rPr>
          <w:smallCaps/>
        </w:rPr>
        <w:t xml:space="preserve">Rees, </w:t>
      </w:r>
      <w:r w:rsidRPr="006D6AB7">
        <w:rPr>
          <w:i/>
        </w:rPr>
        <w:t xml:space="preserve">supra </w:t>
      </w:r>
      <w:r w:rsidRPr="006D6AB7">
        <w:t xml:space="preserve">note 69, at 9; Priest, </w:t>
      </w:r>
      <w:r w:rsidRPr="006D6AB7">
        <w:rPr>
          <w:i/>
        </w:rPr>
        <w:t xml:space="preserve">supra </w:t>
      </w:r>
      <w:r w:rsidRPr="006D6AB7">
        <w:t>note 69, at 238 (describing “entirely voluntary systems of regulation”).</w:t>
      </w:r>
    </w:p>
  </w:footnote>
  <w:footnote w:id="72">
    <w:p w:rsidR="00213D46" w:rsidRPr="006D6AB7" w:rsidRDefault="00213D46">
      <w:pPr>
        <w:pStyle w:val="FootnoteText"/>
        <w:rPr>
          <w:b/>
        </w:rPr>
      </w:pPr>
      <w:r w:rsidRPr="006D6AB7">
        <w:rPr>
          <w:rStyle w:val="FootnoteReference"/>
        </w:rPr>
        <w:footnoteRef/>
      </w:r>
      <w:r w:rsidRPr="006D6AB7">
        <w:t xml:space="preserve"> </w:t>
      </w:r>
      <w:r w:rsidRPr="006D6AB7">
        <w:rPr>
          <w:smallCaps/>
        </w:rPr>
        <w:t xml:space="preserve">Marsden, </w:t>
      </w:r>
      <w:r w:rsidRPr="006D6AB7">
        <w:rPr>
          <w:i/>
        </w:rPr>
        <w:t xml:space="preserve">supra </w:t>
      </w:r>
      <w:r w:rsidRPr="006D6AB7">
        <w:t xml:space="preserve">note 69, at 46; Rubinstein, </w:t>
      </w:r>
      <w:r w:rsidRPr="006D6AB7">
        <w:rPr>
          <w:i/>
        </w:rPr>
        <w:t xml:space="preserve">supra </w:t>
      </w:r>
      <w:r w:rsidRPr="006D6AB7">
        <w:t xml:space="preserve">note 69, at 357; </w:t>
      </w:r>
      <w:proofErr w:type="spellStart"/>
      <w:r w:rsidRPr="006D6AB7">
        <w:t>Gunningham</w:t>
      </w:r>
      <w:proofErr w:type="spellEnd"/>
      <w:r w:rsidRPr="006D6AB7">
        <w:t xml:space="preserve"> &amp; Rees, </w:t>
      </w:r>
      <w:r w:rsidRPr="006D6AB7">
        <w:rPr>
          <w:i/>
        </w:rPr>
        <w:t xml:space="preserve">supra </w:t>
      </w:r>
      <w:r w:rsidRPr="006D6AB7">
        <w:t xml:space="preserve">note 69, at 366.  </w:t>
      </w:r>
    </w:p>
  </w:footnote>
  <w:footnote w:id="73">
    <w:p w:rsidR="00213D46" w:rsidRPr="006D6AB7" w:rsidRDefault="00213D46">
      <w:pPr>
        <w:pStyle w:val="FootnoteText"/>
      </w:pPr>
      <w:r w:rsidRPr="006D6AB7">
        <w:rPr>
          <w:rStyle w:val="FootnoteReference"/>
        </w:rPr>
        <w:footnoteRef/>
      </w:r>
      <w:r w:rsidRPr="006D6AB7">
        <w:t xml:space="preserve"> Rubinstein, </w:t>
      </w:r>
      <w:r w:rsidRPr="006D6AB7">
        <w:rPr>
          <w:i/>
        </w:rPr>
        <w:t xml:space="preserve">supra </w:t>
      </w:r>
      <w:r w:rsidRPr="006D6AB7">
        <w:t>note 69, at 357-58.</w:t>
      </w:r>
    </w:p>
  </w:footnote>
  <w:footnote w:id="74">
    <w:p w:rsidR="00213D46" w:rsidRPr="006D6AB7" w:rsidRDefault="00213D46">
      <w:pPr>
        <w:pStyle w:val="FootnoteText"/>
      </w:pPr>
      <w:r w:rsidRPr="006D6AB7">
        <w:rPr>
          <w:rStyle w:val="FootnoteReference"/>
        </w:rPr>
        <w:footnoteRef/>
      </w:r>
      <w:r w:rsidRPr="006D6AB7">
        <w:t xml:space="preserve"> </w:t>
      </w:r>
      <w:r w:rsidRPr="006D6AB7">
        <w:rPr>
          <w:rFonts w:cs="Times New Roman"/>
          <w:kern w:val="24"/>
        </w:rPr>
        <w:t xml:space="preserve">In some sense, most regulation could be said to be co-regulatory. Government frequently consults industry—either through notice-and-comment rulemaking, or more informally—when it engages in direct regulation. By the same token, industry often looks to government for input and feedback when it engages in self-regulation. To demarcate co-regulation it helps to think of a continuum with pure industry self-regulation on one end (i.e. no government involvement); and pure government regulation on the other (i.e. no industry role).  </w:t>
      </w:r>
      <w:r w:rsidRPr="006D6AB7">
        <w:rPr>
          <w:rFonts w:cs="Times New Roman"/>
          <w:i/>
          <w:kern w:val="24"/>
        </w:rPr>
        <w:t xml:space="preserve">See </w:t>
      </w:r>
      <w:proofErr w:type="spellStart"/>
      <w:r w:rsidRPr="006D6AB7">
        <w:rPr>
          <w:rFonts w:cs="Times New Roman"/>
          <w:kern w:val="24"/>
        </w:rPr>
        <w:t>Gunningham</w:t>
      </w:r>
      <w:proofErr w:type="spellEnd"/>
      <w:r w:rsidRPr="006D6AB7">
        <w:rPr>
          <w:rFonts w:cs="Times New Roman"/>
          <w:kern w:val="24"/>
        </w:rPr>
        <w:t xml:space="preserve"> &amp; Rees, </w:t>
      </w:r>
      <w:r w:rsidRPr="006D6AB7">
        <w:rPr>
          <w:rFonts w:cs="Times New Roman"/>
          <w:i/>
          <w:kern w:val="24"/>
        </w:rPr>
        <w:t xml:space="preserve">supra </w:t>
      </w:r>
      <w:r w:rsidRPr="006D6AB7">
        <w:rPr>
          <w:rFonts w:cs="Times New Roman"/>
          <w:kern w:val="24"/>
        </w:rPr>
        <w:t>note 69, at 366 (describing a “continuum, with pure forms of self-regulation and government regulation at opposite ends”).  Co-regulation encompasses those initiatives that stand towards the middle of this continuum—the programs in which government and industry intentionally and expressly combine their efforts and collaborate on the production, monitoring and enforcement of rules.</w:t>
      </w:r>
    </w:p>
  </w:footnote>
  <w:footnote w:id="75">
    <w:p w:rsidR="00213D46" w:rsidRPr="006D6AB7" w:rsidRDefault="00213D46" w:rsidP="00AD3D14">
      <w:pPr>
        <w:autoSpaceDE w:val="0"/>
        <w:autoSpaceDN w:val="0"/>
        <w:adjustRightInd w:val="0"/>
        <w:spacing w:after="0" w:line="240" w:lineRule="auto"/>
        <w:rPr>
          <w:sz w:val="20"/>
          <w:szCs w:val="20"/>
        </w:rPr>
      </w:pPr>
      <w:r w:rsidRPr="006D6AB7">
        <w:rPr>
          <w:rStyle w:val="FootnoteReference"/>
          <w:sz w:val="20"/>
          <w:szCs w:val="20"/>
        </w:rPr>
        <w:footnoteRef/>
      </w:r>
      <w:r w:rsidRPr="006D6AB7">
        <w:rPr>
          <w:sz w:val="20"/>
          <w:szCs w:val="20"/>
        </w:rPr>
        <w:t xml:space="preserve"> </w:t>
      </w:r>
      <w:proofErr w:type="gramStart"/>
      <w:r w:rsidRPr="006D6AB7">
        <w:rPr>
          <w:smallCaps/>
          <w:sz w:val="20"/>
          <w:szCs w:val="20"/>
        </w:rPr>
        <w:t xml:space="preserve">James </w:t>
      </w:r>
      <w:proofErr w:type="spellStart"/>
      <w:r w:rsidRPr="006D6AB7">
        <w:rPr>
          <w:smallCaps/>
          <w:sz w:val="20"/>
          <w:szCs w:val="20"/>
        </w:rPr>
        <w:t>Salzman</w:t>
      </w:r>
      <w:proofErr w:type="spellEnd"/>
      <w:r w:rsidRPr="006D6AB7">
        <w:rPr>
          <w:smallCaps/>
          <w:sz w:val="20"/>
          <w:szCs w:val="20"/>
        </w:rPr>
        <w:t xml:space="preserve"> &amp; Barton H. Thompson, Environmental Law and Policy 49 (2003)</w:t>
      </w:r>
      <w:r w:rsidRPr="006D6AB7">
        <w:rPr>
          <w:sz w:val="20"/>
          <w:szCs w:val="20"/>
        </w:rPr>
        <w:t>.</w:t>
      </w:r>
      <w:proofErr w:type="gramEnd"/>
      <w:r w:rsidRPr="006D6AB7">
        <w:rPr>
          <w:sz w:val="20"/>
          <w:szCs w:val="20"/>
        </w:rPr>
        <w:t xml:space="preserve"> </w:t>
      </w:r>
    </w:p>
  </w:footnote>
  <w:footnote w:id="76">
    <w:p w:rsidR="00213D46" w:rsidRPr="006D6AB7" w:rsidRDefault="00213D46" w:rsidP="00BF403B">
      <w:pPr>
        <w:autoSpaceDE w:val="0"/>
        <w:autoSpaceDN w:val="0"/>
        <w:adjustRightInd w:val="0"/>
        <w:spacing w:after="0" w:line="240" w:lineRule="auto"/>
        <w:rPr>
          <w:rFonts w:cs="CenturySchoolbook-Italic"/>
          <w:i/>
          <w:iCs/>
          <w:sz w:val="20"/>
          <w:szCs w:val="20"/>
        </w:rPr>
      </w:pPr>
      <w:r w:rsidRPr="006D6AB7">
        <w:rPr>
          <w:rStyle w:val="FootnoteReference"/>
          <w:sz w:val="20"/>
          <w:szCs w:val="20"/>
        </w:rPr>
        <w:footnoteRef/>
      </w:r>
      <w:r w:rsidRPr="006D6AB7">
        <w:rPr>
          <w:sz w:val="20"/>
          <w:szCs w:val="20"/>
        </w:rPr>
        <w:t xml:space="preserve"> </w:t>
      </w:r>
      <w:r w:rsidRPr="006D6AB7">
        <w:rPr>
          <w:rFonts w:cs="CenturySchoolbook"/>
          <w:sz w:val="20"/>
          <w:szCs w:val="20"/>
        </w:rPr>
        <w:t xml:space="preserve">Howard Latin, </w:t>
      </w:r>
      <w:r w:rsidRPr="006D6AB7">
        <w:rPr>
          <w:rFonts w:cs="CenturySchoolbook-Italic"/>
          <w:i/>
          <w:iCs/>
          <w:sz w:val="20"/>
          <w:szCs w:val="20"/>
        </w:rPr>
        <w:t xml:space="preserve">Ideal </w:t>
      </w:r>
      <w:proofErr w:type="gramStart"/>
      <w:r w:rsidRPr="006D6AB7">
        <w:rPr>
          <w:rFonts w:cs="CenturySchoolbook-Italic"/>
          <w:i/>
          <w:iCs/>
          <w:sz w:val="20"/>
          <w:szCs w:val="20"/>
        </w:rPr>
        <w:t>Versus</w:t>
      </w:r>
      <w:proofErr w:type="gramEnd"/>
      <w:r w:rsidRPr="006D6AB7">
        <w:rPr>
          <w:rFonts w:cs="CenturySchoolbook-Italic"/>
          <w:i/>
          <w:iCs/>
          <w:sz w:val="20"/>
          <w:szCs w:val="20"/>
        </w:rPr>
        <w:t xml:space="preserve"> Real Regulatory Efficiency: Implementation of Uniform Standards and “Fine-Tuning” Regulatory Reforms</w:t>
      </w:r>
      <w:r w:rsidRPr="006D6AB7">
        <w:rPr>
          <w:rFonts w:cs="CenturySchoolbook"/>
          <w:sz w:val="20"/>
          <w:szCs w:val="20"/>
        </w:rPr>
        <w:t xml:space="preserve">, 37 </w:t>
      </w:r>
      <w:r w:rsidRPr="006D6AB7">
        <w:rPr>
          <w:rFonts w:cs="CenturySchoolbook"/>
          <w:smallCaps/>
          <w:sz w:val="20"/>
          <w:szCs w:val="20"/>
        </w:rPr>
        <w:t xml:space="preserve">Stan. L. Rev. </w:t>
      </w:r>
      <w:r w:rsidRPr="006D6AB7">
        <w:rPr>
          <w:rFonts w:cs="CenturySchoolbook"/>
          <w:sz w:val="20"/>
          <w:szCs w:val="20"/>
        </w:rPr>
        <w:t>1267, 1271 (1985)</w:t>
      </w:r>
    </w:p>
  </w:footnote>
  <w:footnote w:id="77">
    <w:p w:rsidR="00213D46" w:rsidRPr="006D6AB7" w:rsidRDefault="00213D46">
      <w:pPr>
        <w:pStyle w:val="FootnoteText"/>
      </w:pPr>
      <w:r w:rsidRPr="006D6AB7">
        <w:rPr>
          <w:rStyle w:val="FootnoteReference"/>
        </w:rPr>
        <w:footnoteRef/>
      </w:r>
      <w:r w:rsidRPr="006D6AB7">
        <w:t xml:space="preserve"> </w:t>
      </w:r>
      <w:r w:rsidRPr="006D6AB7">
        <w:rPr>
          <w:i/>
        </w:rPr>
        <w:t xml:space="preserve">See </w:t>
      </w:r>
      <w:r w:rsidRPr="006D6AB7">
        <w:rPr>
          <w:smallCaps/>
        </w:rPr>
        <w:t xml:space="preserve">Virginia </w:t>
      </w:r>
      <w:proofErr w:type="spellStart"/>
      <w:r w:rsidRPr="006D6AB7">
        <w:rPr>
          <w:smallCaps/>
        </w:rPr>
        <w:t>Haufler</w:t>
      </w:r>
      <w:proofErr w:type="spellEnd"/>
      <w:r w:rsidRPr="006D6AB7">
        <w:rPr>
          <w:smallCaps/>
        </w:rPr>
        <w:t xml:space="preserve">, A Public Role for the Private Sector: Industry Self-Regulation in </w:t>
      </w:r>
      <w:proofErr w:type="gramStart"/>
      <w:r w:rsidRPr="006D6AB7">
        <w:rPr>
          <w:smallCaps/>
        </w:rPr>
        <w:t>a</w:t>
      </w:r>
      <w:proofErr w:type="gramEnd"/>
      <w:r w:rsidRPr="006D6AB7">
        <w:rPr>
          <w:smallCaps/>
        </w:rPr>
        <w:t xml:space="preserve"> Global Economy</w:t>
      </w:r>
      <w:r w:rsidRPr="006D6AB7">
        <w:t xml:space="preserve"> 82 (2001) (discussing difficulty of direct, top-down regulation due to lack of consensus on the “mechanisms and standards for international privacy protection”).</w:t>
      </w:r>
    </w:p>
  </w:footnote>
  <w:footnote w:id="78">
    <w:p w:rsidR="00213D46" w:rsidRPr="006D6AB7" w:rsidRDefault="00213D46">
      <w:pPr>
        <w:pStyle w:val="FootnoteText"/>
        <w:rPr>
          <w:smallCaps/>
        </w:rPr>
      </w:pPr>
      <w:r w:rsidRPr="006D6AB7">
        <w:rPr>
          <w:rStyle w:val="FootnoteReference"/>
        </w:rPr>
        <w:footnoteRef/>
      </w:r>
      <w:r w:rsidRPr="006D6AB7">
        <w:t xml:space="preserve"> Dennis D. Hirsch, </w:t>
      </w:r>
      <w:r w:rsidRPr="006D6AB7">
        <w:rPr>
          <w:i/>
        </w:rPr>
        <w:t>Protecting the Inner Environment: What Privacy Regulation can Learn from Environmental Law</w:t>
      </w:r>
      <w:r w:rsidRPr="006D6AB7">
        <w:t xml:space="preserve">, 41 </w:t>
      </w:r>
      <w:r w:rsidRPr="006D6AB7">
        <w:rPr>
          <w:smallCaps/>
        </w:rPr>
        <w:t>Georgia L. Rev. 1, 34 (2006) [</w:t>
      </w:r>
      <w:r w:rsidRPr="006D6AB7">
        <w:t xml:space="preserve">hereinafter Hirsch, </w:t>
      </w:r>
      <w:r w:rsidRPr="006D6AB7">
        <w:rPr>
          <w:i/>
        </w:rPr>
        <w:t>Inner Environment</w:t>
      </w:r>
      <w:r w:rsidRPr="006D6AB7">
        <w:t xml:space="preserve">]. </w:t>
      </w:r>
    </w:p>
  </w:footnote>
  <w:footnote w:id="79">
    <w:p w:rsidR="00213D46" w:rsidRPr="006D6AB7" w:rsidRDefault="00213D46" w:rsidP="007801EF">
      <w:pPr>
        <w:autoSpaceDE w:val="0"/>
        <w:autoSpaceDN w:val="0"/>
        <w:adjustRightInd w:val="0"/>
        <w:spacing w:after="0" w:line="240" w:lineRule="auto"/>
        <w:rPr>
          <w:rFonts w:cs="CenturySchoolbook"/>
          <w:sz w:val="20"/>
          <w:szCs w:val="20"/>
        </w:rPr>
      </w:pPr>
      <w:r w:rsidRPr="006D6AB7">
        <w:rPr>
          <w:rStyle w:val="FootnoteReference"/>
          <w:sz w:val="20"/>
          <w:szCs w:val="20"/>
        </w:rPr>
        <w:footnoteRef/>
      </w:r>
      <w:r w:rsidRPr="006D6AB7">
        <w:rPr>
          <w:sz w:val="20"/>
          <w:szCs w:val="20"/>
        </w:rPr>
        <w:t xml:space="preserve"> </w:t>
      </w:r>
      <w:r w:rsidRPr="006D6AB7">
        <w:rPr>
          <w:i/>
          <w:sz w:val="20"/>
          <w:szCs w:val="20"/>
        </w:rPr>
        <w:t>Id.</w:t>
      </w:r>
      <w:r w:rsidRPr="006D6AB7">
        <w:rPr>
          <w:sz w:val="20"/>
          <w:szCs w:val="20"/>
        </w:rPr>
        <w:t xml:space="preserve"> at 35; </w:t>
      </w:r>
      <w:r w:rsidRPr="006D6AB7">
        <w:rPr>
          <w:rFonts w:cs="CenturySchoolbook"/>
          <w:sz w:val="20"/>
          <w:szCs w:val="20"/>
        </w:rPr>
        <w:t xml:space="preserve">Neil </w:t>
      </w:r>
      <w:proofErr w:type="spellStart"/>
      <w:r w:rsidRPr="006D6AB7">
        <w:rPr>
          <w:rFonts w:cs="CenturySchoolbook"/>
          <w:sz w:val="20"/>
          <w:szCs w:val="20"/>
        </w:rPr>
        <w:t>Gunningham</w:t>
      </w:r>
      <w:proofErr w:type="spellEnd"/>
      <w:r w:rsidRPr="006D6AB7">
        <w:rPr>
          <w:rFonts w:cs="CenturySchoolbook"/>
          <w:sz w:val="20"/>
          <w:szCs w:val="20"/>
        </w:rPr>
        <w:t xml:space="preserve">, </w:t>
      </w:r>
      <w:r w:rsidRPr="006D6AB7">
        <w:rPr>
          <w:rFonts w:cs="CenturySchoolbook-Italic"/>
          <w:i/>
          <w:iCs/>
          <w:sz w:val="20"/>
          <w:szCs w:val="20"/>
        </w:rPr>
        <w:t>Environmental Management Systems and Community Participation: Rethinking Chemical Industry Regulation</w:t>
      </w:r>
      <w:r w:rsidRPr="006D6AB7">
        <w:rPr>
          <w:rFonts w:cs="CenturySchoolbook"/>
          <w:sz w:val="20"/>
          <w:szCs w:val="20"/>
        </w:rPr>
        <w:t xml:space="preserve">, 16 </w:t>
      </w:r>
      <w:r w:rsidRPr="006D6AB7">
        <w:rPr>
          <w:rFonts w:cs="CenturySchoolbook"/>
          <w:smallCaps/>
          <w:sz w:val="20"/>
          <w:szCs w:val="20"/>
        </w:rPr>
        <w:t xml:space="preserve">UCLS J. </w:t>
      </w:r>
      <w:proofErr w:type="spellStart"/>
      <w:r w:rsidRPr="006D6AB7">
        <w:rPr>
          <w:rFonts w:cs="CenturySchoolbook"/>
          <w:smallCaps/>
          <w:sz w:val="20"/>
          <w:szCs w:val="20"/>
        </w:rPr>
        <w:t>Envtl</w:t>
      </w:r>
      <w:proofErr w:type="spellEnd"/>
      <w:r w:rsidRPr="006D6AB7">
        <w:rPr>
          <w:rFonts w:cs="CenturySchoolbook"/>
          <w:smallCaps/>
          <w:sz w:val="20"/>
          <w:szCs w:val="20"/>
        </w:rPr>
        <w:t xml:space="preserve">. </w:t>
      </w:r>
      <w:proofErr w:type="gramStart"/>
      <w:r w:rsidRPr="006D6AB7">
        <w:rPr>
          <w:rFonts w:cs="CenturySchoolbook"/>
          <w:smallCaps/>
          <w:sz w:val="20"/>
          <w:szCs w:val="20"/>
        </w:rPr>
        <w:t xml:space="preserve">L. &amp; </w:t>
      </w:r>
      <w:proofErr w:type="spellStart"/>
      <w:r w:rsidRPr="006D6AB7">
        <w:rPr>
          <w:rFonts w:cs="CenturySchoolbook"/>
          <w:smallCaps/>
          <w:sz w:val="20"/>
          <w:szCs w:val="20"/>
        </w:rPr>
        <w:t>Pol’y</w:t>
      </w:r>
      <w:proofErr w:type="spellEnd"/>
      <w:r w:rsidRPr="006D6AB7">
        <w:rPr>
          <w:rFonts w:cs="CenturySchoolbook"/>
          <w:smallCaps/>
          <w:sz w:val="20"/>
          <w:szCs w:val="20"/>
        </w:rPr>
        <w:t xml:space="preserve"> </w:t>
      </w:r>
      <w:r w:rsidRPr="006D6AB7">
        <w:rPr>
          <w:rFonts w:cs="CenturySchoolbook"/>
          <w:sz w:val="20"/>
          <w:szCs w:val="20"/>
        </w:rPr>
        <w:t>319, 327 (1998).</w:t>
      </w:r>
      <w:proofErr w:type="gramEnd"/>
    </w:p>
  </w:footnote>
  <w:footnote w:id="80">
    <w:p w:rsidR="00213D46" w:rsidRPr="006D6AB7" w:rsidRDefault="00213D46" w:rsidP="00D92EC9">
      <w:pPr>
        <w:autoSpaceDE w:val="0"/>
        <w:autoSpaceDN w:val="0"/>
        <w:adjustRightInd w:val="0"/>
        <w:spacing w:after="0" w:line="240" w:lineRule="auto"/>
        <w:rPr>
          <w:rFonts w:cs="CenturySchoolbook"/>
          <w:sz w:val="20"/>
          <w:szCs w:val="20"/>
        </w:rPr>
      </w:pPr>
      <w:r w:rsidRPr="006D6AB7">
        <w:rPr>
          <w:rStyle w:val="FootnoteReference"/>
          <w:sz w:val="20"/>
          <w:szCs w:val="20"/>
        </w:rPr>
        <w:footnoteRef/>
      </w:r>
      <w:r w:rsidRPr="006D6AB7">
        <w:rPr>
          <w:sz w:val="20"/>
          <w:szCs w:val="20"/>
        </w:rPr>
        <w:t xml:space="preserve"> Hirsch, </w:t>
      </w:r>
      <w:r w:rsidRPr="006D6AB7">
        <w:rPr>
          <w:i/>
          <w:sz w:val="20"/>
          <w:szCs w:val="20"/>
        </w:rPr>
        <w:t>Inner Environment</w:t>
      </w:r>
      <w:r w:rsidRPr="006D6AB7">
        <w:rPr>
          <w:sz w:val="20"/>
          <w:szCs w:val="20"/>
        </w:rPr>
        <w:t xml:space="preserve">, </w:t>
      </w:r>
      <w:r w:rsidRPr="006D6AB7">
        <w:rPr>
          <w:i/>
          <w:sz w:val="20"/>
          <w:szCs w:val="20"/>
        </w:rPr>
        <w:t xml:space="preserve">supra </w:t>
      </w:r>
      <w:r w:rsidRPr="006D6AB7">
        <w:rPr>
          <w:sz w:val="20"/>
          <w:szCs w:val="20"/>
        </w:rPr>
        <w:t xml:space="preserve">note 78, at 35; </w:t>
      </w:r>
      <w:r w:rsidRPr="006D6AB7">
        <w:rPr>
          <w:rFonts w:cs="CenturySchoolbook"/>
          <w:sz w:val="20"/>
          <w:szCs w:val="20"/>
        </w:rPr>
        <w:t>Richard</w:t>
      </w:r>
    </w:p>
    <w:p w:rsidR="00213D46" w:rsidRPr="006D6AB7" w:rsidRDefault="00213D46" w:rsidP="00D92EC9">
      <w:pPr>
        <w:autoSpaceDE w:val="0"/>
        <w:autoSpaceDN w:val="0"/>
        <w:adjustRightInd w:val="0"/>
        <w:spacing w:after="0" w:line="240" w:lineRule="auto"/>
        <w:rPr>
          <w:rFonts w:cs="CenturySchoolbook"/>
          <w:sz w:val="20"/>
          <w:szCs w:val="20"/>
        </w:rPr>
      </w:pPr>
      <w:r w:rsidRPr="006D6AB7">
        <w:rPr>
          <w:rFonts w:cs="CenturySchoolbook"/>
          <w:sz w:val="20"/>
          <w:szCs w:val="20"/>
        </w:rPr>
        <w:t xml:space="preserve">B. Stewart, </w:t>
      </w:r>
      <w:r w:rsidRPr="006D6AB7">
        <w:rPr>
          <w:rFonts w:cs="CenturySchoolbook-Italic"/>
          <w:i/>
          <w:iCs/>
          <w:sz w:val="20"/>
          <w:szCs w:val="20"/>
        </w:rPr>
        <w:t>A New Generation of Environmental Regulation</w:t>
      </w:r>
      <w:proofErr w:type="gramStart"/>
      <w:r w:rsidRPr="006D6AB7">
        <w:rPr>
          <w:rFonts w:cs="CenturySchoolbook-Italic"/>
          <w:i/>
          <w:iCs/>
          <w:sz w:val="20"/>
          <w:szCs w:val="20"/>
        </w:rPr>
        <w:t>?</w:t>
      </w:r>
      <w:r w:rsidRPr="006D6AB7">
        <w:rPr>
          <w:rFonts w:cs="CenturySchoolbook"/>
          <w:sz w:val="20"/>
          <w:szCs w:val="20"/>
        </w:rPr>
        <w:t>,</w:t>
      </w:r>
      <w:proofErr w:type="gramEnd"/>
      <w:r w:rsidRPr="006D6AB7">
        <w:rPr>
          <w:rFonts w:cs="CenturySchoolbook"/>
          <w:sz w:val="20"/>
          <w:szCs w:val="20"/>
        </w:rPr>
        <w:t xml:space="preserve"> 29 </w:t>
      </w:r>
      <w:r w:rsidRPr="006D6AB7">
        <w:rPr>
          <w:rFonts w:cs="CenturySchoolbook"/>
          <w:smallCaps/>
          <w:sz w:val="20"/>
          <w:szCs w:val="20"/>
        </w:rPr>
        <w:t xml:space="preserve">Cap. U. L. Rev. </w:t>
      </w:r>
      <w:r w:rsidRPr="006D6AB7">
        <w:rPr>
          <w:rFonts w:cs="CenturySchoolbook"/>
          <w:sz w:val="20"/>
          <w:szCs w:val="20"/>
        </w:rPr>
        <w:t xml:space="preserve">21, 31 (2001); </w:t>
      </w:r>
      <w:r w:rsidRPr="006D6AB7">
        <w:rPr>
          <w:rFonts w:cs="CenturySchoolbook"/>
          <w:smallCaps/>
          <w:sz w:val="20"/>
          <w:szCs w:val="20"/>
        </w:rPr>
        <w:t xml:space="preserve">U.S. Congress, Office of Tech. Assessment, Environmental Policy Tools: A User’s Guide </w:t>
      </w:r>
      <w:r w:rsidRPr="006D6AB7">
        <w:rPr>
          <w:rFonts w:cs="CenturySchoolbook"/>
          <w:sz w:val="20"/>
          <w:szCs w:val="20"/>
        </w:rPr>
        <w:t>27-28 (1995).</w:t>
      </w:r>
    </w:p>
  </w:footnote>
  <w:footnote w:id="81">
    <w:p w:rsidR="00213D46" w:rsidRPr="006D6AB7" w:rsidRDefault="00213D46">
      <w:pPr>
        <w:pStyle w:val="FootnoteText"/>
      </w:pPr>
      <w:r w:rsidRPr="006D6AB7">
        <w:rPr>
          <w:rStyle w:val="FootnoteReference"/>
        </w:rPr>
        <w:footnoteRef/>
      </w:r>
      <w:r w:rsidRPr="006D6AB7">
        <w:t xml:space="preserve"> </w:t>
      </w:r>
      <w:proofErr w:type="spellStart"/>
      <w:r w:rsidRPr="006D6AB7">
        <w:rPr>
          <w:smallCaps/>
        </w:rPr>
        <w:t>Haufler</w:t>
      </w:r>
      <w:proofErr w:type="spellEnd"/>
      <w:r w:rsidRPr="006D6AB7">
        <w:rPr>
          <w:smallCaps/>
        </w:rPr>
        <w:t>,</w:t>
      </w:r>
      <w:r w:rsidR="004E1FD7">
        <w:rPr>
          <w:smallCaps/>
        </w:rPr>
        <w:t xml:space="preserve"> </w:t>
      </w:r>
      <w:r w:rsidR="004E1FD7">
        <w:rPr>
          <w:i/>
        </w:rPr>
        <w:t xml:space="preserve">supra </w:t>
      </w:r>
      <w:r w:rsidR="00AD6020">
        <w:t>note 77</w:t>
      </w:r>
      <w:r w:rsidR="004E1FD7">
        <w:t xml:space="preserve">, at </w:t>
      </w:r>
      <w:r w:rsidR="00AD6020">
        <w:t xml:space="preserve">92 </w:t>
      </w:r>
      <w:r w:rsidRPr="006D6AB7">
        <w:t>(discussing those who believe that government should not seek to regulate information privacy, and should leave the task to industry self-regulation, because “government regulators simply do not have the capability to deal with the rapid changes and complex issues of the new information economy.”)</w:t>
      </w:r>
    </w:p>
  </w:footnote>
  <w:footnote w:id="82">
    <w:p w:rsidR="00213D46" w:rsidRPr="006D6AB7" w:rsidRDefault="00213D46">
      <w:pPr>
        <w:pStyle w:val="FootnoteText"/>
      </w:pPr>
      <w:r w:rsidRPr="006D6AB7">
        <w:rPr>
          <w:rStyle w:val="FootnoteReference"/>
        </w:rPr>
        <w:footnoteRef/>
      </w:r>
      <w:r w:rsidRPr="006D6AB7">
        <w:t xml:space="preserve"> </w:t>
      </w:r>
      <w:r w:rsidRPr="006D6AB7">
        <w:rPr>
          <w:i/>
        </w:rPr>
        <w:t xml:space="preserve">See </w:t>
      </w:r>
      <w:r w:rsidRPr="006D6AB7">
        <w:t xml:space="preserve">Koops, et al., </w:t>
      </w:r>
      <w:r w:rsidRPr="006D6AB7">
        <w:rPr>
          <w:i/>
        </w:rPr>
        <w:t xml:space="preserve">supra </w:t>
      </w:r>
      <w:r w:rsidRPr="006D6AB7">
        <w:t xml:space="preserve">note 69 (discussing those who take this position); </w:t>
      </w:r>
      <w:proofErr w:type="spellStart"/>
      <w:r w:rsidRPr="006D6AB7">
        <w:t>Gunningham</w:t>
      </w:r>
      <w:proofErr w:type="spellEnd"/>
      <w:r w:rsidRPr="006D6AB7">
        <w:t xml:space="preserve"> &amp; Rees, </w:t>
      </w:r>
      <w:r w:rsidRPr="006D6AB7">
        <w:rPr>
          <w:i/>
        </w:rPr>
        <w:t xml:space="preserve">supra </w:t>
      </w:r>
      <w:r w:rsidRPr="006D6AB7">
        <w:t>note 69, at 366 (same).</w:t>
      </w:r>
    </w:p>
  </w:footnote>
  <w:footnote w:id="83">
    <w:p w:rsidR="00213D46" w:rsidRPr="006D6AB7" w:rsidRDefault="00213D46">
      <w:pPr>
        <w:pStyle w:val="FootnoteText"/>
      </w:pPr>
      <w:r w:rsidRPr="006D6AB7">
        <w:rPr>
          <w:rStyle w:val="FootnoteReference"/>
        </w:rPr>
        <w:footnoteRef/>
      </w:r>
      <w:r w:rsidRPr="006D6AB7">
        <w:t xml:space="preserve"> </w:t>
      </w:r>
      <w:proofErr w:type="spellStart"/>
      <w:r w:rsidRPr="006D6AB7">
        <w:t>Gunningham</w:t>
      </w:r>
      <w:proofErr w:type="spellEnd"/>
      <w:r w:rsidRPr="006D6AB7">
        <w:t xml:space="preserve"> &amp; Rees, </w:t>
      </w:r>
      <w:r w:rsidRPr="006D6AB7">
        <w:rPr>
          <w:i/>
        </w:rPr>
        <w:t xml:space="preserve">supra </w:t>
      </w:r>
      <w:r w:rsidRPr="006D6AB7">
        <w:t xml:space="preserve">note 69, at 366 (discussing those who take this position); Jared Strauss &amp; Kenneth S. </w:t>
      </w:r>
      <w:proofErr w:type="spellStart"/>
      <w:r w:rsidRPr="006D6AB7">
        <w:t>Rogerson</w:t>
      </w:r>
      <w:proofErr w:type="spellEnd"/>
      <w:r w:rsidRPr="006D6AB7">
        <w:t xml:space="preserve">, </w:t>
      </w:r>
      <w:r w:rsidRPr="006D6AB7">
        <w:rPr>
          <w:i/>
        </w:rPr>
        <w:t>Policies for Online Privacy in the United States and the European Union</w:t>
      </w:r>
      <w:r w:rsidRPr="006D6AB7">
        <w:t xml:space="preserve">, 19 </w:t>
      </w:r>
      <w:r w:rsidRPr="006D6AB7">
        <w:rPr>
          <w:smallCaps/>
        </w:rPr>
        <w:t xml:space="preserve">Telematics &amp; Informatics </w:t>
      </w:r>
      <w:r w:rsidRPr="006D6AB7">
        <w:t>173, 181 (2002) (same).</w:t>
      </w:r>
    </w:p>
  </w:footnote>
  <w:footnote w:id="84">
    <w:p w:rsidR="00213D46" w:rsidRPr="006D6AB7" w:rsidRDefault="00213D46">
      <w:pPr>
        <w:pStyle w:val="FootnoteText"/>
      </w:pPr>
      <w:r w:rsidRPr="006D6AB7">
        <w:rPr>
          <w:rStyle w:val="FootnoteReference"/>
        </w:rPr>
        <w:footnoteRef/>
      </w:r>
      <w:r w:rsidRPr="006D6AB7">
        <w:t xml:space="preserve"> </w:t>
      </w:r>
      <w:r w:rsidRPr="006D6AB7">
        <w:rPr>
          <w:i/>
        </w:rPr>
        <w:t>Id.</w:t>
      </w:r>
    </w:p>
  </w:footnote>
  <w:footnote w:id="85">
    <w:p w:rsidR="00213D46" w:rsidRPr="006D6AB7" w:rsidRDefault="00213D46">
      <w:pPr>
        <w:pStyle w:val="FootnoteText"/>
      </w:pPr>
      <w:r w:rsidRPr="006D6AB7">
        <w:rPr>
          <w:rStyle w:val="FootnoteReference"/>
        </w:rPr>
        <w:footnoteRef/>
      </w:r>
      <w:r w:rsidRPr="006D6AB7">
        <w:t xml:space="preserve"> </w:t>
      </w:r>
      <w:r w:rsidRPr="006D6AB7">
        <w:rPr>
          <w:i/>
        </w:rPr>
        <w:t xml:space="preserve">See </w:t>
      </w:r>
      <w:proofErr w:type="spellStart"/>
      <w:r w:rsidRPr="006D6AB7">
        <w:rPr>
          <w:smallCaps/>
        </w:rPr>
        <w:t>Haufler</w:t>
      </w:r>
      <w:proofErr w:type="spellEnd"/>
      <w:r w:rsidRPr="006D6AB7">
        <w:rPr>
          <w:smallCaps/>
        </w:rPr>
        <w:t>,</w:t>
      </w:r>
      <w:r w:rsidRPr="006D6AB7">
        <w:t xml:space="preserve"> </w:t>
      </w:r>
      <w:r w:rsidRPr="006D6AB7">
        <w:rPr>
          <w:i/>
        </w:rPr>
        <w:t xml:space="preserve">supra </w:t>
      </w:r>
      <w:r w:rsidR="004E1FD7">
        <w:t>no</w:t>
      </w:r>
      <w:r w:rsidR="00AD6020">
        <w:t>te 77</w:t>
      </w:r>
      <w:r w:rsidRPr="006D6AB7">
        <w:t xml:space="preserve">, at 22 (multi-nationals adopt global corporate policies “so that they would not have to deal with such a welter of conflicting national regulatory regimes”); </w:t>
      </w:r>
      <w:r w:rsidRPr="006D6AB7">
        <w:rPr>
          <w:smallCaps/>
        </w:rPr>
        <w:t xml:space="preserve">Colin J. Bennett and Charles D. RAAB, The Governance of Privacy: Policy Instruments in Global Perspective  </w:t>
      </w:r>
      <w:r w:rsidRPr="006D6AB7">
        <w:t xml:space="preserve">155 (2006) (multi-national corporations adopt privacy policies); Rhys Jenkins, </w:t>
      </w:r>
      <w:r w:rsidRPr="006D6AB7">
        <w:rPr>
          <w:i/>
        </w:rPr>
        <w:t>Corporate Codes of Conduct: Self-Regulation in a Global Economy</w:t>
      </w:r>
      <w:r w:rsidRPr="006D6AB7">
        <w:t xml:space="preserve">, Technology, Business and Society </w:t>
      </w:r>
      <w:proofErr w:type="spellStart"/>
      <w:r w:rsidRPr="006D6AB7">
        <w:t>Programme</w:t>
      </w:r>
      <w:proofErr w:type="spellEnd"/>
      <w:r w:rsidRPr="006D6AB7">
        <w:t xml:space="preserve"> Paper No. 2, U.N. Research Institute for Social Development 7, 23 (April 2001) (multi-national corporations adopt social responsibility policies in order to ensure that their entire value chain meets standards).</w:t>
      </w:r>
    </w:p>
  </w:footnote>
  <w:footnote w:id="86">
    <w:p w:rsidR="00213D46" w:rsidRPr="006D6AB7" w:rsidRDefault="00213D46">
      <w:pPr>
        <w:pStyle w:val="FootnoteText"/>
      </w:pPr>
      <w:r w:rsidRPr="006D6AB7">
        <w:rPr>
          <w:rStyle w:val="FootnoteReference"/>
        </w:rPr>
        <w:footnoteRef/>
      </w:r>
      <w:r w:rsidRPr="006D6AB7">
        <w:t xml:space="preserve"> </w:t>
      </w:r>
      <w:proofErr w:type="gramStart"/>
      <w:r w:rsidRPr="006D6AB7">
        <w:t xml:space="preserve">Privacy Law and Business International Newsletter, </w:t>
      </w:r>
      <w:r w:rsidRPr="006D6AB7">
        <w:rPr>
          <w:i/>
        </w:rPr>
        <w:t>International Business to Produce a Global Privacy Code</w:t>
      </w:r>
      <w:r w:rsidRPr="006D6AB7">
        <w:t xml:space="preserve">, available at </w:t>
      </w:r>
      <w:hyperlink r:id="rId2" w:history="1">
        <w:r w:rsidRPr="006D6AB7">
          <w:rPr>
            <w:rStyle w:val="Hyperlink"/>
          </w:rPr>
          <w:t>http://worldlii.org/int/journals/PLBIN/2000/3.html</w:t>
        </w:r>
      </w:hyperlink>
      <w:r w:rsidRPr="006D6AB7">
        <w:t xml:space="preserve"> (last visited July 13, 2013).</w:t>
      </w:r>
      <w:proofErr w:type="gramEnd"/>
    </w:p>
  </w:footnote>
  <w:footnote w:id="87">
    <w:p w:rsidR="00213D46" w:rsidRPr="006D6AB7" w:rsidRDefault="00213D46">
      <w:pPr>
        <w:pStyle w:val="FootnoteText"/>
      </w:pPr>
      <w:r w:rsidRPr="006D6AB7">
        <w:rPr>
          <w:rStyle w:val="FootnoteReference"/>
        </w:rPr>
        <w:footnoteRef/>
      </w:r>
      <w:r w:rsidRPr="006D6AB7">
        <w:t xml:space="preserve"> Nick Mansfield, </w:t>
      </w:r>
      <w:r w:rsidRPr="006D6AB7">
        <w:rPr>
          <w:i/>
        </w:rPr>
        <w:t xml:space="preserve">ICX Privacy and Data Protection Code of Conduct </w:t>
      </w:r>
      <w:r w:rsidRPr="006D6AB7">
        <w:t>4</w:t>
      </w:r>
      <w:r w:rsidRPr="006D6AB7">
        <w:rPr>
          <w:i/>
        </w:rPr>
        <w:t xml:space="preserve"> </w:t>
      </w:r>
      <w:r w:rsidRPr="006D6AB7">
        <w:t>(Shell Services Int’l, July, 2000) (copy on file with author).</w:t>
      </w:r>
    </w:p>
  </w:footnote>
  <w:footnote w:id="88">
    <w:p w:rsidR="00213D46" w:rsidRPr="006D6AB7" w:rsidRDefault="00213D46">
      <w:pPr>
        <w:pStyle w:val="FootnoteText"/>
      </w:pPr>
      <w:r w:rsidRPr="006D6AB7">
        <w:rPr>
          <w:rStyle w:val="FootnoteReference"/>
        </w:rPr>
        <w:footnoteRef/>
      </w:r>
      <w:r w:rsidRPr="006D6AB7">
        <w:t xml:space="preserve"> </w:t>
      </w:r>
      <w:r w:rsidRPr="006D6AB7">
        <w:rPr>
          <w:i/>
        </w:rPr>
        <w:t>Id.</w:t>
      </w:r>
    </w:p>
  </w:footnote>
  <w:footnote w:id="89">
    <w:p w:rsidR="00213D46" w:rsidRPr="006D6AB7" w:rsidRDefault="00213D46">
      <w:pPr>
        <w:pStyle w:val="FootnoteText"/>
      </w:pPr>
      <w:r w:rsidRPr="006D6AB7">
        <w:rPr>
          <w:rStyle w:val="FootnoteReference"/>
        </w:rPr>
        <w:footnoteRef/>
      </w:r>
      <w:r w:rsidRPr="006D6AB7">
        <w:t xml:space="preserve"> </w:t>
      </w:r>
      <w:r w:rsidRPr="006D6AB7">
        <w:rPr>
          <w:i/>
        </w:rPr>
        <w:t xml:space="preserve">See </w:t>
      </w:r>
      <w:hyperlink r:id="rId3" w:history="1">
        <w:r w:rsidRPr="006D6AB7">
          <w:rPr>
            <w:rStyle w:val="Hyperlink"/>
          </w:rPr>
          <w:t>www.icx.org.uk/about.htm</w:t>
        </w:r>
      </w:hyperlink>
      <w:r w:rsidRPr="006D6AB7">
        <w:t xml:space="preserve">  (last visited June 14, 2013).</w:t>
      </w:r>
    </w:p>
  </w:footnote>
  <w:footnote w:id="90">
    <w:p w:rsidR="00213D46" w:rsidRPr="006D6AB7" w:rsidRDefault="00213D46">
      <w:pPr>
        <w:pStyle w:val="FootnoteText"/>
      </w:pPr>
      <w:r w:rsidRPr="006D6AB7">
        <w:rPr>
          <w:rStyle w:val="FootnoteReference"/>
        </w:rPr>
        <w:footnoteRef/>
      </w:r>
      <w:r w:rsidRPr="006D6AB7">
        <w:t xml:space="preserve"> </w:t>
      </w:r>
      <w:r w:rsidRPr="006D6AB7">
        <w:rPr>
          <w:smallCaps/>
        </w:rPr>
        <w:t xml:space="preserve">Bennett &amp; </w:t>
      </w:r>
      <w:proofErr w:type="spellStart"/>
      <w:r w:rsidRPr="006D6AB7">
        <w:rPr>
          <w:smallCaps/>
        </w:rPr>
        <w:t>Raab</w:t>
      </w:r>
      <w:proofErr w:type="spellEnd"/>
      <w:r w:rsidRPr="006D6AB7">
        <w:rPr>
          <w:smallCaps/>
        </w:rPr>
        <w:t xml:space="preserve">, </w:t>
      </w:r>
      <w:r w:rsidRPr="006D6AB7">
        <w:rPr>
          <w:i/>
        </w:rPr>
        <w:t xml:space="preserve">supra </w:t>
      </w:r>
      <w:r w:rsidRPr="006D6AB7">
        <w:t>note 85, at 134.</w:t>
      </w:r>
    </w:p>
  </w:footnote>
  <w:footnote w:id="91">
    <w:p w:rsidR="00213D46" w:rsidRPr="006D6AB7" w:rsidRDefault="00213D46">
      <w:pPr>
        <w:pStyle w:val="FootnoteText"/>
      </w:pPr>
      <w:r w:rsidRPr="006D6AB7">
        <w:rPr>
          <w:rStyle w:val="FootnoteReference"/>
        </w:rPr>
        <w:footnoteRef/>
      </w:r>
      <w:r w:rsidRPr="006D6AB7">
        <w:t xml:space="preserve"> Strauss &amp; </w:t>
      </w:r>
      <w:proofErr w:type="spellStart"/>
      <w:r w:rsidRPr="006D6AB7">
        <w:t>Rogerson</w:t>
      </w:r>
      <w:proofErr w:type="spellEnd"/>
      <w:r w:rsidRPr="006D6AB7">
        <w:t xml:space="preserve">, </w:t>
      </w:r>
      <w:r w:rsidRPr="006D6AB7">
        <w:rPr>
          <w:i/>
        </w:rPr>
        <w:t xml:space="preserve">supra </w:t>
      </w:r>
      <w:r w:rsidRPr="006D6AB7">
        <w:t xml:space="preserve">note 83, at 183; Koops, et al., </w:t>
      </w:r>
      <w:r w:rsidRPr="006D6AB7">
        <w:rPr>
          <w:i/>
        </w:rPr>
        <w:t xml:space="preserve">supra </w:t>
      </w:r>
      <w:r w:rsidRPr="006D6AB7">
        <w:t>note 69.</w:t>
      </w:r>
    </w:p>
  </w:footnote>
  <w:footnote w:id="92">
    <w:p w:rsidR="00213D46" w:rsidRPr="006D6AB7" w:rsidRDefault="00213D46" w:rsidP="00F80F66">
      <w:pPr>
        <w:autoSpaceDE w:val="0"/>
        <w:autoSpaceDN w:val="0"/>
        <w:adjustRightInd w:val="0"/>
        <w:spacing w:after="0" w:line="240" w:lineRule="auto"/>
        <w:rPr>
          <w:rFonts w:cs="TimesNewRomanPSMT"/>
          <w:sz w:val="20"/>
          <w:szCs w:val="20"/>
        </w:rPr>
      </w:pPr>
      <w:r w:rsidRPr="006D6AB7">
        <w:rPr>
          <w:rStyle w:val="FootnoteReference"/>
          <w:sz w:val="20"/>
          <w:szCs w:val="20"/>
        </w:rPr>
        <w:footnoteRef/>
      </w:r>
      <w:r w:rsidRPr="006D6AB7">
        <w:rPr>
          <w:sz w:val="20"/>
          <w:szCs w:val="20"/>
        </w:rPr>
        <w:t xml:space="preserve"> </w:t>
      </w:r>
      <w:r w:rsidRPr="006D6AB7">
        <w:rPr>
          <w:i/>
          <w:sz w:val="20"/>
          <w:szCs w:val="20"/>
        </w:rPr>
        <w:t xml:space="preserve">See </w:t>
      </w:r>
      <w:r w:rsidRPr="006D6AB7">
        <w:rPr>
          <w:sz w:val="20"/>
          <w:szCs w:val="20"/>
        </w:rPr>
        <w:t xml:space="preserve">Hirsch, </w:t>
      </w:r>
      <w:r w:rsidRPr="006D6AB7">
        <w:rPr>
          <w:i/>
          <w:sz w:val="20"/>
          <w:szCs w:val="20"/>
        </w:rPr>
        <w:t xml:space="preserve">Online Privacy, supra </w:t>
      </w:r>
      <w:r w:rsidRPr="006D6AB7">
        <w:rPr>
          <w:sz w:val="20"/>
          <w:szCs w:val="20"/>
        </w:rPr>
        <w:t xml:space="preserve">note 69, at 459-464 (discussing this research); Pam Dixon, </w:t>
      </w:r>
      <w:proofErr w:type="gramStart"/>
      <w:r w:rsidRPr="006D6AB7">
        <w:rPr>
          <w:i/>
          <w:sz w:val="20"/>
          <w:szCs w:val="20"/>
        </w:rPr>
        <w:t>The</w:t>
      </w:r>
      <w:proofErr w:type="gramEnd"/>
      <w:r w:rsidRPr="006D6AB7">
        <w:rPr>
          <w:i/>
          <w:sz w:val="20"/>
          <w:szCs w:val="20"/>
        </w:rPr>
        <w:t xml:space="preserve"> Network Advertising Initiative: Failing at Consumer Protection and at Self-Regulation</w:t>
      </w:r>
      <w:r w:rsidRPr="006D6AB7">
        <w:rPr>
          <w:sz w:val="20"/>
          <w:szCs w:val="20"/>
        </w:rPr>
        <w:t xml:space="preserve"> (World Privacy Forum, 2007) (analysis of Network Advertising Initiative self-regulatory program).</w:t>
      </w:r>
    </w:p>
  </w:footnote>
  <w:footnote w:id="93">
    <w:p w:rsidR="00213D46" w:rsidRPr="006D6AB7" w:rsidRDefault="00213D46">
      <w:pPr>
        <w:pStyle w:val="FootnoteText"/>
      </w:pPr>
      <w:r w:rsidRPr="006D6AB7">
        <w:rPr>
          <w:rStyle w:val="FootnoteReference"/>
        </w:rPr>
        <w:footnoteRef/>
      </w:r>
      <w:r w:rsidRPr="006D6AB7">
        <w:t xml:space="preserve"> Philip J. Harter, </w:t>
      </w:r>
      <w:r w:rsidRPr="006D6AB7">
        <w:rPr>
          <w:i/>
        </w:rPr>
        <w:t>Collaboration: The Future of Governance</w:t>
      </w:r>
      <w:r w:rsidRPr="006D6AB7">
        <w:t xml:space="preserve">, 2009 </w:t>
      </w:r>
      <w:r w:rsidRPr="006D6AB7">
        <w:rPr>
          <w:smallCaps/>
        </w:rPr>
        <w:t xml:space="preserve">J. Disp. </w:t>
      </w:r>
      <w:proofErr w:type="spellStart"/>
      <w:r w:rsidRPr="006D6AB7">
        <w:rPr>
          <w:smallCaps/>
        </w:rPr>
        <w:t>Resol</w:t>
      </w:r>
      <w:proofErr w:type="spellEnd"/>
      <w:r w:rsidRPr="006D6AB7">
        <w:rPr>
          <w:smallCaps/>
        </w:rPr>
        <w:t>.</w:t>
      </w:r>
      <w:r w:rsidRPr="006D6AB7">
        <w:t xml:space="preserve"> 411, 420, 422; Jody Freeman, </w:t>
      </w:r>
      <w:r w:rsidRPr="006D6AB7">
        <w:rPr>
          <w:i/>
        </w:rPr>
        <w:t>Collaborative Governance in the Administrative State</w:t>
      </w:r>
      <w:r w:rsidRPr="006D6AB7">
        <w:t xml:space="preserve">, 45 </w:t>
      </w:r>
      <w:r w:rsidRPr="006D6AB7">
        <w:rPr>
          <w:smallCaps/>
        </w:rPr>
        <w:t xml:space="preserve">UCLA L. Rev. </w:t>
      </w:r>
      <w:r w:rsidRPr="006D6AB7">
        <w:t xml:space="preserve">1, 22, 26-27 (1997); </w:t>
      </w:r>
      <w:r w:rsidRPr="006D6AB7">
        <w:rPr>
          <w:smallCaps/>
        </w:rPr>
        <w:t xml:space="preserve">Neil </w:t>
      </w:r>
      <w:proofErr w:type="spellStart"/>
      <w:r w:rsidRPr="006D6AB7">
        <w:rPr>
          <w:smallCaps/>
        </w:rPr>
        <w:t>Gunningham</w:t>
      </w:r>
      <w:proofErr w:type="spellEnd"/>
      <w:r w:rsidRPr="006D6AB7">
        <w:rPr>
          <w:smallCaps/>
        </w:rPr>
        <w:t xml:space="preserve"> &amp; Darren Sinclair, Leaders &amp; Laggards: Next-Generation Environmental Regulation 104 (</w:t>
      </w:r>
      <w:r w:rsidRPr="006D6AB7">
        <w:t xml:space="preserve">2002); Daniel J. </w:t>
      </w:r>
      <w:proofErr w:type="spellStart"/>
      <w:r w:rsidRPr="006D6AB7">
        <w:t>Fiorino</w:t>
      </w:r>
      <w:proofErr w:type="spellEnd"/>
      <w:r w:rsidRPr="006D6AB7">
        <w:t xml:space="preserve">, </w:t>
      </w:r>
      <w:r w:rsidRPr="006D6AB7">
        <w:rPr>
          <w:i/>
        </w:rPr>
        <w:t>Toward a New System of Environmental Regulation: The Case for an Industry Sector Approach</w:t>
      </w:r>
      <w:r w:rsidRPr="006D6AB7">
        <w:t xml:space="preserve">, 26 </w:t>
      </w:r>
      <w:proofErr w:type="spellStart"/>
      <w:r w:rsidRPr="006D6AB7">
        <w:rPr>
          <w:smallCaps/>
        </w:rPr>
        <w:t>Envtl</w:t>
      </w:r>
      <w:proofErr w:type="spellEnd"/>
      <w:r w:rsidRPr="006D6AB7">
        <w:rPr>
          <w:smallCaps/>
        </w:rPr>
        <w:t xml:space="preserve">. L. </w:t>
      </w:r>
      <w:r w:rsidRPr="006D6AB7">
        <w:t>457, 485 (1996) (stating that a negotiated, sector-based approach can allow “companies to tailor rules to their own circumstances”).</w:t>
      </w:r>
    </w:p>
  </w:footnote>
  <w:footnote w:id="94">
    <w:p w:rsidR="00213D46" w:rsidRPr="00E03A27" w:rsidRDefault="00213D46">
      <w:pPr>
        <w:pStyle w:val="FootnoteText"/>
      </w:pPr>
      <w:r w:rsidRPr="006D6AB7">
        <w:rPr>
          <w:rStyle w:val="FootnoteReference"/>
        </w:rPr>
        <w:footnoteRef/>
      </w:r>
      <w:r w:rsidRPr="00342EA2">
        <w:t xml:space="preserve"> </w:t>
      </w:r>
      <w:r w:rsidRPr="00342EA2">
        <w:rPr>
          <w:rStyle w:val="FootnoteFootnoteReference"/>
          <w:rFonts w:asciiTheme="minorHAnsi" w:hAnsiTheme="minorHAnsi"/>
          <w:sz w:val="20"/>
          <w:szCs w:val="20"/>
        </w:rPr>
        <w:t xml:space="preserve">Freeman, </w:t>
      </w:r>
      <w:r w:rsidRPr="00342EA2">
        <w:rPr>
          <w:rStyle w:val="FootnoteFootnoteReference"/>
          <w:rFonts w:asciiTheme="minorHAnsi" w:hAnsiTheme="minorHAnsi"/>
          <w:i/>
          <w:sz w:val="20"/>
          <w:szCs w:val="20"/>
        </w:rPr>
        <w:t xml:space="preserve">supra </w:t>
      </w:r>
      <w:r>
        <w:rPr>
          <w:rStyle w:val="FootnoteFootnoteReference"/>
          <w:rFonts w:asciiTheme="minorHAnsi" w:hAnsiTheme="minorHAnsi"/>
          <w:sz w:val="20"/>
          <w:szCs w:val="20"/>
        </w:rPr>
        <w:t xml:space="preserve">note 93, at </w:t>
      </w:r>
      <w:r w:rsidRPr="00342EA2">
        <w:rPr>
          <w:rStyle w:val="FootnoteFootnoteReference"/>
          <w:rFonts w:asciiTheme="minorHAnsi" w:hAnsiTheme="minorHAnsi"/>
          <w:sz w:val="20"/>
          <w:szCs w:val="20"/>
        </w:rPr>
        <w:t>12, 23-24</w:t>
      </w:r>
      <w:r>
        <w:rPr>
          <w:rStyle w:val="FootnoteFootnoteReference"/>
          <w:rFonts w:asciiTheme="minorHAnsi" w:hAnsiTheme="minorHAnsi"/>
          <w:sz w:val="20"/>
          <w:szCs w:val="20"/>
        </w:rPr>
        <w:t xml:space="preserve">; </w:t>
      </w:r>
      <w:proofErr w:type="spellStart"/>
      <w:r>
        <w:rPr>
          <w:rStyle w:val="FootnoteFootnoteReference"/>
          <w:rFonts w:asciiTheme="minorHAnsi" w:hAnsiTheme="minorHAnsi"/>
          <w:smallCaps/>
          <w:sz w:val="20"/>
          <w:szCs w:val="20"/>
        </w:rPr>
        <w:t>Gunningham</w:t>
      </w:r>
      <w:proofErr w:type="spellEnd"/>
      <w:r>
        <w:rPr>
          <w:rStyle w:val="FootnoteFootnoteReference"/>
          <w:rFonts w:asciiTheme="minorHAnsi" w:hAnsiTheme="minorHAnsi"/>
          <w:smallCaps/>
          <w:sz w:val="20"/>
          <w:szCs w:val="20"/>
        </w:rPr>
        <w:t xml:space="preserve"> &amp; Sinclair, </w:t>
      </w:r>
      <w:r>
        <w:rPr>
          <w:rStyle w:val="FootnoteFootnoteReference"/>
          <w:rFonts w:asciiTheme="minorHAnsi" w:hAnsiTheme="minorHAnsi"/>
          <w:i/>
          <w:sz w:val="20"/>
          <w:szCs w:val="20"/>
        </w:rPr>
        <w:t xml:space="preserve">supra </w:t>
      </w:r>
      <w:r>
        <w:rPr>
          <w:rStyle w:val="FootnoteFootnoteReference"/>
          <w:rFonts w:asciiTheme="minorHAnsi" w:hAnsiTheme="minorHAnsi"/>
          <w:sz w:val="20"/>
          <w:szCs w:val="20"/>
        </w:rPr>
        <w:t>note 93, at 109.</w:t>
      </w:r>
      <w:r>
        <w:t xml:space="preserve"> A study of Dutch data protection codes of conduct has shown that some co-regulatory mechanisms may not be as flexible and adaptable as industry self-regulation.  In the Netherlands, industry sectors draft a code of conduct and submit it to the regulator, which must approve it. This generally requires each of the parties to make a substantial investment in an in-depth negotiation before they can reach agreement on the terms of the code.  This makes them reluctant to re-open the terms of the agreement, and so leads to static codes of conduct that generally do not change during their five-year term.  </w:t>
      </w:r>
      <w:r>
        <w:rPr>
          <w:i/>
        </w:rPr>
        <w:t xml:space="preserve">Id.  </w:t>
      </w:r>
      <w:r>
        <w:t xml:space="preserve">In self-regulation, industry sets its own rules and does not have to obtain government approval of them. This makes it easier for industry to re-open and revise these rules in order to account for changing technological or business realities.    </w:t>
      </w:r>
    </w:p>
  </w:footnote>
  <w:footnote w:id="95">
    <w:p w:rsidR="00213D46" w:rsidRPr="000E05D1" w:rsidRDefault="00213D46">
      <w:pPr>
        <w:pStyle w:val="FootnoteText"/>
      </w:pPr>
      <w:r>
        <w:rPr>
          <w:rStyle w:val="FootnoteReference"/>
        </w:rPr>
        <w:footnoteRef/>
      </w:r>
      <w:r>
        <w:t xml:space="preserve"> </w:t>
      </w:r>
      <w:proofErr w:type="spellStart"/>
      <w:r>
        <w:rPr>
          <w:smallCaps/>
        </w:rPr>
        <w:t>Gunningham</w:t>
      </w:r>
      <w:proofErr w:type="spellEnd"/>
      <w:r>
        <w:rPr>
          <w:smallCaps/>
        </w:rPr>
        <w:t xml:space="preserve"> &amp; Sinclair, </w:t>
      </w:r>
      <w:r>
        <w:rPr>
          <w:i/>
        </w:rPr>
        <w:t xml:space="preserve">supra </w:t>
      </w:r>
      <w:r>
        <w:t>note 93, at 108-109.</w:t>
      </w:r>
    </w:p>
  </w:footnote>
  <w:footnote w:id="96">
    <w:p w:rsidR="00213D46" w:rsidRPr="000E05D1" w:rsidRDefault="00213D46">
      <w:pPr>
        <w:pStyle w:val="FootnoteText"/>
        <w:rPr>
          <w:i/>
        </w:rPr>
      </w:pPr>
      <w:r>
        <w:rPr>
          <w:rStyle w:val="FootnoteReference"/>
        </w:rPr>
        <w:footnoteRef/>
      </w:r>
      <w:r>
        <w:t xml:space="preserve"> </w:t>
      </w:r>
      <w:r>
        <w:rPr>
          <w:i/>
        </w:rPr>
        <w:t xml:space="preserve">Id. </w:t>
      </w:r>
    </w:p>
  </w:footnote>
  <w:footnote w:id="97">
    <w:p w:rsidR="00213D46" w:rsidRPr="00D00DBB" w:rsidRDefault="00213D46">
      <w:pPr>
        <w:pStyle w:val="FootnoteText"/>
      </w:pPr>
      <w:r>
        <w:rPr>
          <w:rStyle w:val="FootnoteReference"/>
        </w:rPr>
        <w:footnoteRef/>
      </w:r>
      <w:r>
        <w:t xml:space="preserve"> </w:t>
      </w:r>
      <w:r>
        <w:rPr>
          <w:i/>
        </w:rPr>
        <w:t xml:space="preserve">Id. </w:t>
      </w:r>
      <w:r>
        <w:t xml:space="preserve">at 105 (collaborative negotiations </w:t>
      </w:r>
      <w:r w:rsidRPr="007405E7">
        <w:t>“generate risks of a phenomenon tantamount to regulatory capture</w:t>
      </w:r>
      <w:r>
        <w:t>.</w:t>
      </w:r>
      <w:r w:rsidRPr="007405E7">
        <w:t>”</w:t>
      </w:r>
      <w:r>
        <w:t>)</w:t>
      </w:r>
    </w:p>
  </w:footnote>
  <w:footnote w:id="98">
    <w:p w:rsidR="00213D46" w:rsidRPr="00797923" w:rsidRDefault="00213D46">
      <w:pPr>
        <w:pStyle w:val="FootnoteText"/>
      </w:pPr>
      <w:r w:rsidRPr="006D6AB7">
        <w:rPr>
          <w:rStyle w:val="FootnoteReference"/>
        </w:rPr>
        <w:footnoteRef/>
      </w:r>
      <w:r w:rsidRPr="006D6AB7">
        <w:t xml:space="preserve"> </w:t>
      </w:r>
      <w:r w:rsidRPr="006D6AB7">
        <w:rPr>
          <w:i/>
        </w:rPr>
        <w:t xml:space="preserve">See infra </w:t>
      </w:r>
      <w:r w:rsidR="002C6DEF">
        <w:t>notes 166-67</w:t>
      </w:r>
      <w:r w:rsidRPr="006D6AB7">
        <w:t xml:space="preserve"> (discussing how best to integrate stakeholders into the negotiation process).</w:t>
      </w:r>
    </w:p>
  </w:footnote>
  <w:footnote w:id="99">
    <w:p w:rsidR="00213D46" w:rsidRDefault="00213D46">
      <w:pPr>
        <w:pStyle w:val="FootnoteText"/>
      </w:pPr>
      <w:r>
        <w:rPr>
          <w:rStyle w:val="FootnoteReference"/>
        </w:rPr>
        <w:footnoteRef/>
      </w:r>
      <w:r>
        <w:t xml:space="preserve"> </w:t>
      </w:r>
      <w:proofErr w:type="gramStart"/>
      <w:r>
        <w:t xml:space="preserve">Dennis D. Hirsch, </w:t>
      </w:r>
      <w:r>
        <w:rPr>
          <w:i/>
        </w:rPr>
        <w:t>Going Dutch?</w:t>
      </w:r>
      <w:proofErr w:type="gramEnd"/>
      <w:r>
        <w:rPr>
          <w:i/>
        </w:rPr>
        <w:t xml:space="preserve">  Collaborative Dutch Privacy Regulation and the Lessons it </w:t>
      </w:r>
      <w:proofErr w:type="gramStart"/>
      <w:r>
        <w:rPr>
          <w:i/>
        </w:rPr>
        <w:t>Holds</w:t>
      </w:r>
      <w:proofErr w:type="gramEnd"/>
      <w:r>
        <w:rPr>
          <w:i/>
        </w:rPr>
        <w:t xml:space="preserve"> for U.S. Privacy Law</w:t>
      </w:r>
      <w:r>
        <w:t xml:space="preserve">, forthcoming __ </w:t>
      </w:r>
      <w:r>
        <w:rPr>
          <w:smallCaps/>
        </w:rPr>
        <w:t xml:space="preserve">Mich. </w:t>
      </w:r>
      <w:proofErr w:type="gramStart"/>
      <w:r>
        <w:rPr>
          <w:smallCaps/>
        </w:rPr>
        <w:t xml:space="preserve">St. L. Rev. </w:t>
      </w:r>
      <w:r>
        <w:t xml:space="preserve">___ (2013) [hereinafter Hirsch, </w:t>
      </w:r>
      <w:r>
        <w:rPr>
          <w:i/>
        </w:rPr>
        <w:t>Going Dutch</w:t>
      </w:r>
      <w:r>
        <w:t>].</w:t>
      </w:r>
      <w:proofErr w:type="gramEnd"/>
    </w:p>
  </w:footnote>
  <w:footnote w:id="100">
    <w:p w:rsidR="00213D46" w:rsidRDefault="00213D46" w:rsidP="00EB69FD">
      <w:pPr>
        <w:pStyle w:val="FootnoteText"/>
      </w:pPr>
      <w:r>
        <w:rPr>
          <w:rStyle w:val="FootnoteReference"/>
        </w:rPr>
        <w:footnoteRef/>
      </w:r>
      <w:r>
        <w:t xml:space="preserve"> </w:t>
      </w:r>
      <w:r>
        <w:rPr>
          <w:i/>
        </w:rPr>
        <w:t xml:space="preserve">Id. </w:t>
      </w:r>
    </w:p>
  </w:footnote>
  <w:footnote w:id="101">
    <w:p w:rsidR="00213D46" w:rsidRPr="005F3326" w:rsidRDefault="00213D46">
      <w:pPr>
        <w:pStyle w:val="FootnoteText"/>
      </w:pPr>
      <w:r>
        <w:rPr>
          <w:rStyle w:val="FootnoteReference"/>
        </w:rPr>
        <w:footnoteRef/>
      </w:r>
      <w:r>
        <w:t xml:space="preserve"> 1995 Directive, </w:t>
      </w:r>
      <w:r>
        <w:rPr>
          <w:i/>
        </w:rPr>
        <w:t xml:space="preserve">supra </w:t>
      </w:r>
      <w:r>
        <w:t>note 44, art. 25.</w:t>
      </w:r>
    </w:p>
  </w:footnote>
  <w:footnote w:id="102">
    <w:p w:rsidR="00213D46" w:rsidRPr="008F1651" w:rsidRDefault="00213D46" w:rsidP="00581AC0">
      <w:pPr>
        <w:pStyle w:val="FootnoteText"/>
        <w:rPr>
          <w:i/>
          <w:smallCaps/>
        </w:rPr>
      </w:pPr>
      <w:r>
        <w:rPr>
          <w:rStyle w:val="FootnoteReference"/>
        </w:rPr>
        <w:footnoteRef/>
      </w:r>
      <w:r>
        <w:t xml:space="preserve"> </w:t>
      </w:r>
      <w:r>
        <w:rPr>
          <w:smallCaps/>
        </w:rPr>
        <w:t xml:space="preserve">Christopher </w:t>
      </w:r>
      <w:proofErr w:type="spellStart"/>
      <w:r>
        <w:rPr>
          <w:smallCaps/>
        </w:rPr>
        <w:t>Kuner</w:t>
      </w:r>
      <w:proofErr w:type="spellEnd"/>
      <w:r>
        <w:rPr>
          <w:smallCaps/>
        </w:rPr>
        <w:t>, European Data Protection Law: Corporate Compliance and Regulation 219 (2007).</w:t>
      </w:r>
    </w:p>
  </w:footnote>
  <w:footnote w:id="103">
    <w:p w:rsidR="00213D46" w:rsidRDefault="00213D46">
      <w:pPr>
        <w:pStyle w:val="FootnoteText"/>
      </w:pPr>
      <w:r>
        <w:rPr>
          <w:rStyle w:val="FootnoteReference"/>
        </w:rPr>
        <w:footnoteRef/>
      </w:r>
      <w:r>
        <w:t xml:space="preserve"> </w:t>
      </w:r>
      <w:r>
        <w:rPr>
          <w:i/>
        </w:rPr>
        <w:t xml:space="preserve">Id. </w:t>
      </w:r>
      <w:r>
        <w:t>at 225</w:t>
      </w:r>
    </w:p>
  </w:footnote>
  <w:footnote w:id="104">
    <w:p w:rsidR="00213D46" w:rsidRDefault="00213D46">
      <w:pPr>
        <w:pStyle w:val="FootnoteText"/>
      </w:pPr>
      <w:r>
        <w:rPr>
          <w:rStyle w:val="FootnoteReference"/>
        </w:rPr>
        <w:footnoteRef/>
      </w:r>
      <w:r>
        <w:t xml:space="preserve"> </w:t>
      </w:r>
      <w:proofErr w:type="gramStart"/>
      <w:r>
        <w:rPr>
          <w:i/>
        </w:rPr>
        <w:t xml:space="preserve">Id. </w:t>
      </w:r>
      <w:r>
        <w:t>at 223.</w:t>
      </w:r>
      <w:proofErr w:type="gramEnd"/>
    </w:p>
  </w:footnote>
  <w:footnote w:id="105">
    <w:p w:rsidR="00213D46" w:rsidRDefault="00213D46">
      <w:pPr>
        <w:pStyle w:val="FootnoteText"/>
      </w:pPr>
      <w:r>
        <w:rPr>
          <w:rStyle w:val="FootnoteReference"/>
        </w:rPr>
        <w:footnoteRef/>
      </w:r>
      <w:r>
        <w:t xml:space="preserve"> </w:t>
      </w:r>
      <w:proofErr w:type="gramStart"/>
      <w:r>
        <w:rPr>
          <w:i/>
        </w:rPr>
        <w:t xml:space="preserve">Id. </w:t>
      </w:r>
      <w:r>
        <w:t>at 223-24.</w:t>
      </w:r>
      <w:proofErr w:type="gramEnd"/>
    </w:p>
  </w:footnote>
  <w:footnote w:id="106">
    <w:p w:rsidR="00213D46" w:rsidRDefault="00213D46">
      <w:pPr>
        <w:pStyle w:val="FootnoteText"/>
      </w:pPr>
      <w:r>
        <w:rPr>
          <w:rStyle w:val="FootnoteReference"/>
        </w:rPr>
        <w:footnoteRef/>
      </w:r>
      <w:r>
        <w:t xml:space="preserve"> </w:t>
      </w:r>
      <w:proofErr w:type="gramStart"/>
      <w:r>
        <w:rPr>
          <w:i/>
        </w:rPr>
        <w:t xml:space="preserve">Id. </w:t>
      </w:r>
      <w:r>
        <w:t>at 220.</w:t>
      </w:r>
      <w:proofErr w:type="gramEnd"/>
    </w:p>
  </w:footnote>
  <w:footnote w:id="107">
    <w:p w:rsidR="00213D46" w:rsidRDefault="00213D46" w:rsidP="0001470B">
      <w:pPr>
        <w:pStyle w:val="FootnoteText"/>
      </w:pPr>
      <w:r>
        <w:rPr>
          <w:rStyle w:val="FootnoteReference"/>
        </w:rPr>
        <w:footnoteRef/>
      </w:r>
      <w:r>
        <w:t xml:space="preserve"> Article 29 Data Protection Working Party, </w:t>
      </w:r>
      <w:r>
        <w:rPr>
          <w:i/>
        </w:rPr>
        <w:t xml:space="preserve">Working Document on Frequently Asked Questions (FAQs) Related to Binding Corporate Rules </w:t>
      </w:r>
      <w:r>
        <w:t>6 (Apr. 8, 2009);</w:t>
      </w:r>
      <w:r>
        <w:rPr>
          <w:i/>
        </w:rPr>
        <w:t xml:space="preserve"> </w:t>
      </w:r>
      <w:proofErr w:type="spellStart"/>
      <w:r>
        <w:rPr>
          <w:smallCaps/>
        </w:rPr>
        <w:t>Kuner</w:t>
      </w:r>
      <w:proofErr w:type="spellEnd"/>
      <w:r>
        <w:rPr>
          <w:smallCaps/>
        </w:rPr>
        <w:t xml:space="preserve">, </w:t>
      </w:r>
      <w:r>
        <w:rPr>
          <w:i/>
        </w:rPr>
        <w:t xml:space="preserve">supra </w:t>
      </w:r>
      <w:r>
        <w:t>note 102, at 220.</w:t>
      </w:r>
    </w:p>
  </w:footnote>
  <w:footnote w:id="108">
    <w:p w:rsidR="00213D46" w:rsidRDefault="00213D46">
      <w:pPr>
        <w:pStyle w:val="FootnoteText"/>
      </w:pPr>
      <w:r>
        <w:rPr>
          <w:rStyle w:val="FootnoteReference"/>
        </w:rPr>
        <w:footnoteRef/>
      </w:r>
      <w:r>
        <w:t xml:space="preserve"> </w:t>
      </w:r>
      <w:proofErr w:type="spellStart"/>
      <w:r>
        <w:rPr>
          <w:smallCaps/>
        </w:rPr>
        <w:t>Kuner</w:t>
      </w:r>
      <w:proofErr w:type="spellEnd"/>
      <w:r>
        <w:rPr>
          <w:smallCaps/>
        </w:rPr>
        <w:t xml:space="preserve">, </w:t>
      </w:r>
      <w:r>
        <w:rPr>
          <w:i/>
        </w:rPr>
        <w:t xml:space="preserve">supra </w:t>
      </w:r>
      <w:r>
        <w:t>note 102, at 227.</w:t>
      </w:r>
    </w:p>
  </w:footnote>
  <w:footnote w:id="109">
    <w:p w:rsidR="00213D46" w:rsidRPr="00BF5430" w:rsidRDefault="00213D46">
      <w:pPr>
        <w:pStyle w:val="FootnoteText"/>
      </w:pPr>
      <w:r>
        <w:rPr>
          <w:rStyle w:val="FootnoteReference"/>
        </w:rPr>
        <w:footnoteRef/>
      </w:r>
      <w:r>
        <w:t xml:space="preserve"> </w:t>
      </w:r>
      <w:r>
        <w:rPr>
          <w:i/>
        </w:rPr>
        <w:t xml:space="preserve">See </w:t>
      </w:r>
      <w:hyperlink r:id="rId4" w:history="1">
        <w:r w:rsidRPr="009B6E22">
          <w:rPr>
            <w:rStyle w:val="Hyperlink"/>
          </w:rPr>
          <w:t>http://www.apec.org/About-Us/About-APEC/History.aspx</w:t>
        </w:r>
      </w:hyperlink>
      <w:r>
        <w:t xml:space="preserve"> (last visited July 15, 2013); </w:t>
      </w:r>
      <w:hyperlink r:id="rId5" w:history="1">
        <w:r w:rsidRPr="009B6E22">
          <w:rPr>
            <w:rStyle w:val="Hyperlink"/>
          </w:rPr>
          <w:t>http://www.apec.org/About-Us/About-APEC/Member-Economies.aspx</w:t>
        </w:r>
      </w:hyperlink>
      <w:r>
        <w:t xml:space="preserve"> (listing the current member countries) (last visited July 15, 2013).</w:t>
      </w:r>
    </w:p>
  </w:footnote>
  <w:footnote w:id="110">
    <w:p w:rsidR="00213D46" w:rsidRPr="003723A0" w:rsidRDefault="00213D46">
      <w:pPr>
        <w:pStyle w:val="FootnoteText"/>
      </w:pPr>
      <w:r>
        <w:rPr>
          <w:rStyle w:val="FootnoteReference"/>
        </w:rPr>
        <w:footnoteRef/>
      </w:r>
      <w:r>
        <w:t xml:space="preserve"> </w:t>
      </w:r>
      <w:r>
        <w:rPr>
          <w:i/>
        </w:rPr>
        <w:t xml:space="preserve">See </w:t>
      </w:r>
      <w:r>
        <w:t xml:space="preserve">APEC, </w:t>
      </w:r>
      <w:r>
        <w:rPr>
          <w:i/>
        </w:rPr>
        <w:t xml:space="preserve">APEC Data Privacy Pathfinder Projects Implementation Work Plan – Revised </w:t>
      </w:r>
      <w:r>
        <w:t xml:space="preserve">(2009), available at </w:t>
      </w:r>
      <w:hyperlink r:id="rId6" w:history="1">
        <w:r w:rsidRPr="009B6E22">
          <w:rPr>
            <w:rStyle w:val="Hyperlink"/>
          </w:rPr>
          <w:t>http://www.apec.org/About-Us/About-APEC/Fact-Sheets/APEC-Privacy-Framework.aspx</w:t>
        </w:r>
      </w:hyperlink>
      <w:r>
        <w:t xml:space="preserve"> (last visited July 15, 2013).</w:t>
      </w:r>
      <w:r>
        <w:rPr>
          <w:i/>
        </w:rPr>
        <w:t xml:space="preserve"> </w:t>
      </w:r>
    </w:p>
  </w:footnote>
  <w:footnote w:id="111">
    <w:p w:rsidR="00213D46" w:rsidRPr="00A11517" w:rsidRDefault="00213D46">
      <w:pPr>
        <w:pStyle w:val="FootnoteText"/>
      </w:pPr>
      <w:r>
        <w:rPr>
          <w:rStyle w:val="FootnoteReference"/>
        </w:rPr>
        <w:footnoteRef/>
      </w:r>
      <w:r>
        <w:t xml:space="preserve"> See APEC, APEC Privacy Framework (2005) (listing the APEC Privacy Principles), available at </w:t>
      </w:r>
      <w:hyperlink r:id="rId7" w:history="1">
        <w:r w:rsidRPr="009B6E22">
          <w:rPr>
            <w:rStyle w:val="Hyperlink"/>
          </w:rPr>
          <w:t>http://www.apec.org/Groups/Committee-on-Trade-and-Investment/~/media/Files/Groups/ECSG/05_ecsg_privacyframewk.ashx</w:t>
        </w:r>
      </w:hyperlink>
      <w:r>
        <w:t xml:space="preserve"> (last visited July 15, 2013); </w:t>
      </w:r>
      <w:r>
        <w:rPr>
          <w:i/>
        </w:rPr>
        <w:t xml:space="preserve">see </w:t>
      </w:r>
      <w:r>
        <w:t xml:space="preserve">Table 2, </w:t>
      </w:r>
      <w:r>
        <w:rPr>
          <w:i/>
        </w:rPr>
        <w:t>infra</w:t>
      </w:r>
      <w:r>
        <w:t>, for an overview of these Principles.</w:t>
      </w:r>
    </w:p>
  </w:footnote>
  <w:footnote w:id="112">
    <w:p w:rsidR="00213D46" w:rsidRPr="00DB6103" w:rsidRDefault="00213D46">
      <w:pPr>
        <w:pStyle w:val="FootnoteText"/>
      </w:pPr>
      <w:r>
        <w:rPr>
          <w:rStyle w:val="FootnoteReference"/>
        </w:rPr>
        <w:footnoteRef/>
      </w:r>
      <w:r>
        <w:t xml:space="preserve"> Paula J. </w:t>
      </w:r>
      <w:proofErr w:type="spellStart"/>
      <w:r>
        <w:t>Bruening</w:t>
      </w:r>
      <w:proofErr w:type="spellEnd"/>
      <w:r>
        <w:t xml:space="preserve">, </w:t>
      </w:r>
      <w:r>
        <w:rPr>
          <w:i/>
        </w:rPr>
        <w:t xml:space="preserve">APEC Roundup: Update on Accountability Agents in Implementation of the APEC Framework, Development of Pathfinder Projects, More, </w:t>
      </w:r>
      <w:r>
        <w:t xml:space="preserve">9 </w:t>
      </w:r>
      <w:r w:rsidRPr="00DB6103">
        <w:rPr>
          <w:smallCaps/>
        </w:rPr>
        <w:t>Privacy &amp; Sec. L. Rep.</w:t>
      </w:r>
      <w:r>
        <w:rPr>
          <w:smallCaps/>
        </w:rPr>
        <w:t xml:space="preserve"> </w:t>
      </w:r>
      <w:r>
        <w:t>1444 (Oct. 18, 2010).</w:t>
      </w:r>
    </w:p>
  </w:footnote>
  <w:footnote w:id="113">
    <w:p w:rsidR="00213D46" w:rsidRPr="00DB6103" w:rsidRDefault="00213D46">
      <w:pPr>
        <w:pStyle w:val="FootnoteText"/>
        <w:rPr>
          <w:i/>
        </w:rPr>
      </w:pPr>
      <w:r>
        <w:rPr>
          <w:rStyle w:val="FootnoteReference"/>
        </w:rPr>
        <w:footnoteRef/>
      </w:r>
      <w:r>
        <w:t xml:space="preserve"> </w:t>
      </w:r>
      <w:r>
        <w:rPr>
          <w:i/>
        </w:rPr>
        <w:t>Id.</w:t>
      </w:r>
    </w:p>
  </w:footnote>
  <w:footnote w:id="114">
    <w:p w:rsidR="00213D46" w:rsidRPr="00191888" w:rsidRDefault="00213D46" w:rsidP="00DB6103">
      <w:pPr>
        <w:pStyle w:val="FootnoteText"/>
      </w:pPr>
      <w:r>
        <w:rPr>
          <w:rStyle w:val="FootnoteReference"/>
        </w:rPr>
        <w:footnoteRef/>
      </w:r>
      <w:r>
        <w:t xml:space="preserve"> APEC, </w:t>
      </w:r>
      <w:r w:rsidRPr="008B012E">
        <w:rPr>
          <w:rFonts w:cs="Times New Roman"/>
          <w:i/>
          <w:kern w:val="24"/>
        </w:rPr>
        <w:t>APEC Cross-Border Privacy Rules System: Policies, Rules and Guidelines</w:t>
      </w:r>
      <w:r w:rsidRPr="008B012E">
        <w:rPr>
          <w:rFonts w:cs="Times New Roman"/>
          <w:kern w:val="24"/>
        </w:rPr>
        <w:t xml:space="preserve"> </w:t>
      </w:r>
      <w:r>
        <w:rPr>
          <w:rFonts w:cs="Times New Roman"/>
          <w:kern w:val="24"/>
        </w:rPr>
        <w:t>(“</w:t>
      </w:r>
      <w:r w:rsidRPr="008B012E">
        <w:rPr>
          <w:rFonts w:cs="Times New Roman"/>
        </w:rPr>
        <w:t>The CBPR System does not displace or change an Economy’s domestic laws and</w:t>
      </w:r>
      <w:r w:rsidRPr="008B012E">
        <w:rPr>
          <w:rFonts w:cs="Times New Roman"/>
          <w:kern w:val="24"/>
        </w:rPr>
        <w:t xml:space="preserve"> </w:t>
      </w:r>
      <w:r w:rsidRPr="008B012E">
        <w:rPr>
          <w:rFonts w:cs="Times New Roman"/>
        </w:rPr>
        <w:t>regulations. . . . Participation in the CBPR System does not replace a participating organization’s domestic legal obligations. . . .  Where domestic legal requirements exceed what is expected in the CBPR System, the full extent of such domestic law and regulation will continue to apply</w:t>
      </w:r>
      <w:r>
        <w:rPr>
          <w:rFonts w:cs="Times New Roman"/>
        </w:rPr>
        <w:t xml:space="preserve">”); </w:t>
      </w:r>
      <w:r>
        <w:rPr>
          <w:i/>
        </w:rPr>
        <w:t xml:space="preserve">accord </w:t>
      </w:r>
      <w:r w:rsidRPr="008B012E">
        <w:t xml:space="preserve">Justin Bookman, </w:t>
      </w:r>
      <w:r w:rsidRPr="008B012E">
        <w:rPr>
          <w:i/>
        </w:rPr>
        <w:t xml:space="preserve">Can ‘Cross-Border Privacy Rules’ Trump Divergent Data Protection Laws? </w:t>
      </w:r>
      <w:r w:rsidRPr="008B012E">
        <w:t>(Center for De</w:t>
      </w:r>
      <w:r>
        <w:t>mocracy and Technology, Oct. 4, 2011) (APEC framework explicitly requires compliance with various national data protection laws).</w:t>
      </w:r>
    </w:p>
  </w:footnote>
  <w:footnote w:id="115">
    <w:p w:rsidR="00213D46" w:rsidRPr="006C2DF9" w:rsidRDefault="00213D46">
      <w:pPr>
        <w:pStyle w:val="FootnoteText"/>
      </w:pPr>
      <w:r>
        <w:rPr>
          <w:rStyle w:val="FootnoteReference"/>
        </w:rPr>
        <w:footnoteRef/>
      </w:r>
      <w:r>
        <w:t xml:space="preserve"> Rubinstein, </w:t>
      </w:r>
      <w:r>
        <w:rPr>
          <w:i/>
        </w:rPr>
        <w:t xml:space="preserve">supra </w:t>
      </w:r>
      <w:r>
        <w:t>note 69, at 390-91.</w:t>
      </w:r>
    </w:p>
  </w:footnote>
  <w:footnote w:id="116">
    <w:p w:rsidR="00213D46" w:rsidRPr="007E1D76" w:rsidRDefault="00213D46">
      <w:pPr>
        <w:pStyle w:val="FootnoteText"/>
      </w:pPr>
      <w:r>
        <w:rPr>
          <w:rStyle w:val="FootnoteReference"/>
        </w:rPr>
        <w:footnoteRef/>
      </w:r>
      <w:r>
        <w:t xml:space="preserve"> </w:t>
      </w:r>
      <w:r>
        <w:rPr>
          <w:i/>
        </w:rPr>
        <w:t xml:space="preserve">See </w:t>
      </w:r>
      <w:r>
        <w:t xml:space="preserve">Safe Harbor Overview, </w:t>
      </w:r>
      <w:hyperlink r:id="rId8" w:history="1">
        <w:r w:rsidRPr="009B6E22">
          <w:rPr>
            <w:rStyle w:val="Hyperlink"/>
          </w:rPr>
          <w:t>http://export.gov/safeharbor/eu/eg_main_018476.asp</w:t>
        </w:r>
      </w:hyperlink>
      <w:r>
        <w:t xml:space="preserve"> (last visited July 15, 2013).</w:t>
      </w:r>
    </w:p>
  </w:footnote>
  <w:footnote w:id="117">
    <w:p w:rsidR="00213D46" w:rsidRPr="000972C2" w:rsidRDefault="00213D46">
      <w:pPr>
        <w:pStyle w:val="FootnoteText"/>
      </w:pPr>
      <w:r>
        <w:rPr>
          <w:rStyle w:val="FootnoteReference"/>
        </w:rPr>
        <w:footnoteRef/>
      </w:r>
      <w:r>
        <w:t xml:space="preserve"> </w:t>
      </w:r>
      <w:r>
        <w:rPr>
          <w:i/>
        </w:rPr>
        <w:t xml:space="preserve">See </w:t>
      </w:r>
      <w:r>
        <w:t xml:space="preserve">Department of Commerce, </w:t>
      </w:r>
      <w:r>
        <w:rPr>
          <w:i/>
        </w:rPr>
        <w:t xml:space="preserve">Safe Harbor Privacy Principles </w:t>
      </w:r>
      <w:r>
        <w:t xml:space="preserve">(2000), available at </w:t>
      </w:r>
      <w:hyperlink r:id="rId9" w:history="1">
        <w:r w:rsidRPr="009B6E22">
          <w:rPr>
            <w:rStyle w:val="Hyperlink"/>
          </w:rPr>
          <w:t>http://export.gov/safeharbor/eu/eg_main_018475.asp</w:t>
        </w:r>
      </w:hyperlink>
      <w:r>
        <w:t xml:space="preserve"> (last visited July 15, 2013).</w:t>
      </w:r>
    </w:p>
  </w:footnote>
  <w:footnote w:id="118">
    <w:p w:rsidR="00213D46" w:rsidRPr="00B54B29" w:rsidRDefault="00213D46">
      <w:pPr>
        <w:pStyle w:val="FootnoteText"/>
        <w:rPr>
          <w:i/>
        </w:rPr>
      </w:pPr>
      <w:r>
        <w:rPr>
          <w:rStyle w:val="FootnoteReference"/>
        </w:rPr>
        <w:footnoteRef/>
      </w:r>
      <w:r>
        <w:t xml:space="preserve"> </w:t>
      </w:r>
      <w:r>
        <w:rPr>
          <w:i/>
        </w:rPr>
        <w:t xml:space="preserve">Id.; </w:t>
      </w:r>
      <w:proofErr w:type="spellStart"/>
      <w:r>
        <w:t>TRUSTe</w:t>
      </w:r>
      <w:proofErr w:type="spellEnd"/>
      <w:r>
        <w:t xml:space="preserve"> is one of the largest safe harbor seal programs and has developed a set of privacy requirements that companies must meet in order to fulfill the Safe Harbor Principles and join the program. </w:t>
      </w:r>
      <w:r>
        <w:rPr>
          <w:i/>
        </w:rPr>
        <w:t>See</w:t>
      </w:r>
      <w:r>
        <w:t xml:space="preserve"> </w:t>
      </w:r>
      <w:hyperlink r:id="rId10" w:history="1">
        <w:r w:rsidRPr="009B6E22">
          <w:rPr>
            <w:rStyle w:val="Hyperlink"/>
          </w:rPr>
          <w:t>http://www.truste.com/privacy-program-requirements/program_requirements_EUSH_privacy</w:t>
        </w:r>
      </w:hyperlink>
      <w:r>
        <w:t xml:space="preserve"> (last visited July 15, 2013).</w:t>
      </w:r>
    </w:p>
  </w:footnote>
  <w:footnote w:id="119">
    <w:p w:rsidR="00213D46" w:rsidRPr="000972C2" w:rsidRDefault="00213D46">
      <w:pPr>
        <w:pStyle w:val="FootnoteText"/>
      </w:pPr>
      <w:r>
        <w:rPr>
          <w:rStyle w:val="FootnoteReference"/>
        </w:rPr>
        <w:footnoteRef/>
      </w:r>
      <w:r>
        <w:t xml:space="preserve"> Rubinstein, </w:t>
      </w:r>
      <w:r>
        <w:rPr>
          <w:i/>
        </w:rPr>
        <w:t xml:space="preserve">supra </w:t>
      </w:r>
      <w:r>
        <w:t>note 69, at 391.</w:t>
      </w:r>
    </w:p>
  </w:footnote>
  <w:footnote w:id="120">
    <w:p w:rsidR="00213D46" w:rsidRPr="009C7A59" w:rsidRDefault="00213D46">
      <w:pPr>
        <w:pStyle w:val="FootnoteText"/>
      </w:pPr>
      <w:r>
        <w:rPr>
          <w:rStyle w:val="FootnoteReference"/>
        </w:rPr>
        <w:footnoteRef/>
      </w:r>
      <w:r w:rsidR="00AD6020">
        <w:t xml:space="preserve"> Dep’t of Commerce</w:t>
      </w:r>
      <w:r>
        <w:t xml:space="preserve">, </w:t>
      </w:r>
      <w:r>
        <w:rPr>
          <w:i/>
        </w:rPr>
        <w:t>Safe Harbor Privacy Principles</w:t>
      </w:r>
      <w:r>
        <w:t xml:space="preserve">, </w:t>
      </w:r>
      <w:r>
        <w:rPr>
          <w:i/>
        </w:rPr>
        <w:t xml:space="preserve">supra </w:t>
      </w:r>
      <w:proofErr w:type="gramStart"/>
      <w:r>
        <w:t>note</w:t>
      </w:r>
      <w:proofErr w:type="gramEnd"/>
      <w:r>
        <w:t xml:space="preserve"> 117; Rubinstein, </w:t>
      </w:r>
      <w:r>
        <w:rPr>
          <w:i/>
        </w:rPr>
        <w:t xml:space="preserve">supra </w:t>
      </w:r>
      <w:r>
        <w:t>note 69, at 391.</w:t>
      </w:r>
    </w:p>
  </w:footnote>
  <w:footnote w:id="121">
    <w:p w:rsidR="00213D46" w:rsidRPr="00804E75" w:rsidRDefault="00213D46">
      <w:pPr>
        <w:pStyle w:val="FootnoteText"/>
      </w:pPr>
      <w:r>
        <w:rPr>
          <w:rStyle w:val="FootnoteReference"/>
        </w:rPr>
        <w:footnoteRef/>
      </w:r>
      <w:r>
        <w:t xml:space="preserve"> The Safe Harbor Agreement</w:t>
      </w:r>
      <w:r w:rsidR="00AD6020">
        <w:t xml:space="preserve"> also employs economy-wide sets of privacy rules</w:t>
      </w:r>
      <w:r>
        <w:t xml:space="preserve">, i.e. those developed by safe harbor organizations and open to companies from any economic sector.  These are also flawed, as explained </w:t>
      </w:r>
      <w:r w:rsidR="00633422">
        <w:rPr>
          <w:i/>
        </w:rPr>
        <w:t>i</w:t>
      </w:r>
      <w:r>
        <w:rPr>
          <w:i/>
        </w:rPr>
        <w:t>nfra</w:t>
      </w:r>
      <w:r>
        <w:t xml:space="preserve"> at notes </w:t>
      </w:r>
      <w:r w:rsidR="00633422">
        <w:t>129-130</w:t>
      </w:r>
      <w:r>
        <w:t xml:space="preserve"> and accompanying text.</w:t>
      </w:r>
    </w:p>
  </w:footnote>
  <w:footnote w:id="122">
    <w:p w:rsidR="00213D46" w:rsidRPr="0012084E" w:rsidRDefault="00213D46">
      <w:pPr>
        <w:pStyle w:val="FootnoteText"/>
      </w:pPr>
      <w:r>
        <w:rPr>
          <w:rStyle w:val="FootnoteReference"/>
        </w:rPr>
        <w:footnoteRef/>
      </w:r>
      <w:r>
        <w:t xml:space="preserve"> </w:t>
      </w:r>
      <w:proofErr w:type="spellStart"/>
      <w:r>
        <w:rPr>
          <w:smallCaps/>
        </w:rPr>
        <w:t>Kuner</w:t>
      </w:r>
      <w:proofErr w:type="spellEnd"/>
      <w:r>
        <w:rPr>
          <w:smallCaps/>
        </w:rPr>
        <w:t xml:space="preserve">, </w:t>
      </w:r>
      <w:r>
        <w:rPr>
          <w:i/>
        </w:rPr>
        <w:t xml:space="preserve">supra </w:t>
      </w:r>
      <w:r w:rsidR="00AD6020">
        <w:t>note 102</w:t>
      </w:r>
      <w:r>
        <w:t>, at 220 (“the [BCR] approval process can be lengthy, and implementation can be expensive for all but large multi-nationals”).</w:t>
      </w:r>
    </w:p>
  </w:footnote>
  <w:footnote w:id="123">
    <w:p w:rsidR="002A4ED0" w:rsidRPr="002A4ED0" w:rsidRDefault="002A4ED0">
      <w:pPr>
        <w:pStyle w:val="FootnoteText"/>
      </w:pPr>
      <w:r>
        <w:rPr>
          <w:rStyle w:val="FootnoteReference"/>
        </w:rPr>
        <w:footnoteRef/>
      </w:r>
      <w:r>
        <w:t xml:space="preserve"> </w:t>
      </w:r>
      <w:r>
        <w:rPr>
          <w:i/>
        </w:rPr>
        <w:t xml:space="preserve">Cf. </w:t>
      </w:r>
      <w:r>
        <w:t xml:space="preserve">Priest, </w:t>
      </w:r>
      <w:r>
        <w:rPr>
          <w:i/>
        </w:rPr>
        <w:t xml:space="preserve">supra </w:t>
      </w:r>
      <w:r>
        <w:t>note 70, at 258 (small companies find it burdensome to engage in self-regulation).</w:t>
      </w:r>
    </w:p>
  </w:footnote>
  <w:footnote w:id="124">
    <w:p w:rsidR="00213D46" w:rsidRPr="009B5E28" w:rsidRDefault="00213D46">
      <w:pPr>
        <w:pStyle w:val="FootnoteText"/>
      </w:pPr>
      <w:r>
        <w:rPr>
          <w:rStyle w:val="FootnoteReference"/>
        </w:rPr>
        <w:footnoteRef/>
      </w:r>
      <w:r>
        <w:t xml:space="preserve"> </w:t>
      </w:r>
      <w:r>
        <w:rPr>
          <w:i/>
        </w:rPr>
        <w:t xml:space="preserve">See infra </w:t>
      </w:r>
      <w:r>
        <w:t xml:space="preserve">notes </w:t>
      </w:r>
      <w:r w:rsidR="001610E3">
        <w:t xml:space="preserve">129-130 </w:t>
      </w:r>
      <w:r>
        <w:t>and accompanying text.</w:t>
      </w:r>
    </w:p>
  </w:footnote>
  <w:footnote w:id="125">
    <w:p w:rsidR="00213D46" w:rsidRPr="003E0712" w:rsidRDefault="00213D46">
      <w:pPr>
        <w:pStyle w:val="FootnoteText"/>
      </w:pPr>
      <w:r>
        <w:rPr>
          <w:rStyle w:val="FootnoteReference"/>
        </w:rPr>
        <w:footnoteRef/>
      </w:r>
      <w:r>
        <w:t xml:space="preserve"> </w:t>
      </w:r>
      <w:r>
        <w:rPr>
          <w:i/>
        </w:rPr>
        <w:t xml:space="preserve">See </w:t>
      </w:r>
      <w:r>
        <w:t xml:space="preserve">the listing of those companies that have completed the BCR process that is available at </w:t>
      </w:r>
      <w:hyperlink r:id="rId11" w:history="1">
        <w:r w:rsidRPr="003E7B3D">
          <w:rPr>
            <w:rStyle w:val="Hyperlink"/>
            <w:i/>
          </w:rPr>
          <w:t>http://ec.europa.eu/justice/data-protection/document/international-transfers/binding-corporate-rules/bcr_cooperation/index_en.htm</w:t>
        </w:r>
      </w:hyperlink>
      <w:r>
        <w:rPr>
          <w:i/>
        </w:rPr>
        <w:t xml:space="preserve"> </w:t>
      </w:r>
      <w:r>
        <w:t>(last visited June 15, 2013).</w:t>
      </w:r>
    </w:p>
  </w:footnote>
  <w:footnote w:id="126">
    <w:p w:rsidR="002A4ED0" w:rsidRPr="002A4ED0" w:rsidRDefault="002A4ED0">
      <w:pPr>
        <w:pStyle w:val="FootnoteText"/>
      </w:pPr>
      <w:r>
        <w:rPr>
          <w:rStyle w:val="FootnoteReference"/>
        </w:rPr>
        <w:footnoteRef/>
      </w:r>
      <w:r>
        <w:t xml:space="preserve"> </w:t>
      </w:r>
      <w:r>
        <w:rPr>
          <w:i/>
        </w:rPr>
        <w:t xml:space="preserve">Cf. </w:t>
      </w:r>
      <w:r>
        <w:t xml:space="preserve">Priest, </w:t>
      </w:r>
      <w:r>
        <w:rPr>
          <w:i/>
        </w:rPr>
        <w:t xml:space="preserve">supra </w:t>
      </w:r>
      <w:r>
        <w:t xml:space="preserve">note 70, at 281 (company-based approaches to self-regulation lead </w:t>
      </w:r>
      <w:r w:rsidR="008658A0">
        <w:t>disparate obligations for different firms).</w:t>
      </w:r>
    </w:p>
  </w:footnote>
  <w:footnote w:id="127">
    <w:p w:rsidR="002A4ED0" w:rsidRPr="002A4ED0" w:rsidRDefault="002A4ED0">
      <w:pPr>
        <w:pStyle w:val="FootnoteText"/>
      </w:pPr>
      <w:r>
        <w:rPr>
          <w:rStyle w:val="FootnoteReference"/>
        </w:rPr>
        <w:footnoteRef/>
      </w:r>
      <w:r>
        <w:t xml:space="preserve"> </w:t>
      </w:r>
      <w:r>
        <w:rPr>
          <w:i/>
        </w:rPr>
        <w:t xml:space="preserve">See </w:t>
      </w:r>
      <w:r w:rsidR="008658A0">
        <w:rPr>
          <w:i/>
        </w:rPr>
        <w:t xml:space="preserve">id. </w:t>
      </w:r>
      <w:proofErr w:type="gramStart"/>
      <w:r>
        <w:t>at</w:t>
      </w:r>
      <w:proofErr w:type="gramEnd"/>
      <w:r>
        <w:t xml:space="preserve"> 258 (firm-based self-regulation makes it “more costly” for government regulators); </w:t>
      </w:r>
      <w:r>
        <w:rPr>
          <w:i/>
        </w:rPr>
        <w:t xml:space="preserve">id. </w:t>
      </w:r>
      <w:proofErr w:type="gramStart"/>
      <w:r>
        <w:t>at</w:t>
      </w:r>
      <w:proofErr w:type="gramEnd"/>
      <w:r>
        <w:t xml:space="preserve"> 278 (individuated, company-based self-regulatory regime compromises efficiency).</w:t>
      </w:r>
    </w:p>
  </w:footnote>
  <w:footnote w:id="128">
    <w:p w:rsidR="00213D46" w:rsidRPr="009B27CD" w:rsidRDefault="00213D46">
      <w:pPr>
        <w:pStyle w:val="FootnoteText"/>
      </w:pPr>
      <w:r>
        <w:rPr>
          <w:rStyle w:val="FootnoteReference"/>
        </w:rPr>
        <w:footnoteRef/>
      </w:r>
      <w:r>
        <w:t xml:space="preserve"> </w:t>
      </w:r>
      <w:r w:rsidR="00AD6020">
        <w:t xml:space="preserve">Stakeholders typically have even fewer resources to devote to this task than government agencies do. </w:t>
      </w:r>
    </w:p>
  </w:footnote>
  <w:footnote w:id="129">
    <w:p w:rsidR="00213D46" w:rsidRPr="00B95CC3" w:rsidRDefault="00213D46">
      <w:pPr>
        <w:pStyle w:val="FootnoteText"/>
      </w:pPr>
      <w:r>
        <w:rPr>
          <w:rStyle w:val="FootnoteReference"/>
        </w:rPr>
        <w:footnoteRef/>
      </w:r>
      <w:r>
        <w:t xml:space="preserve"> </w:t>
      </w:r>
      <w:r>
        <w:rPr>
          <w:i/>
        </w:rPr>
        <w:t xml:space="preserve">See supra </w:t>
      </w:r>
      <w:r w:rsidR="00EF08AA">
        <w:t xml:space="preserve">note 118 </w:t>
      </w:r>
      <w:r>
        <w:t>and accompanying text.</w:t>
      </w:r>
    </w:p>
  </w:footnote>
  <w:footnote w:id="130">
    <w:p w:rsidR="00213D46" w:rsidRPr="0047224C" w:rsidRDefault="00213D46">
      <w:pPr>
        <w:pStyle w:val="FootnoteText"/>
      </w:pPr>
      <w:r>
        <w:rPr>
          <w:rStyle w:val="FootnoteReference"/>
        </w:rPr>
        <w:footnoteRef/>
      </w:r>
      <w:r>
        <w:t xml:space="preserve"> </w:t>
      </w:r>
      <w:r>
        <w:rPr>
          <w:i/>
        </w:rPr>
        <w:t xml:space="preserve">See supra </w:t>
      </w:r>
      <w:r>
        <w:t>note</w:t>
      </w:r>
      <w:r w:rsidR="00EF08AA">
        <w:t xml:space="preserve"> 93</w:t>
      </w:r>
      <w:r>
        <w:t xml:space="preserve"> and accompanying text.</w:t>
      </w:r>
    </w:p>
  </w:footnote>
  <w:footnote w:id="131">
    <w:p w:rsidR="00213D46" w:rsidRDefault="00213D46">
      <w:pPr>
        <w:pStyle w:val="FootnoteText"/>
      </w:pPr>
      <w:r>
        <w:rPr>
          <w:rStyle w:val="FootnoteReference"/>
        </w:rPr>
        <w:footnoteRef/>
      </w:r>
      <w:r>
        <w:t xml:space="preserve"> See Hirsch, </w:t>
      </w:r>
      <w:r w:rsidRPr="002005B9">
        <w:rPr>
          <w:i/>
        </w:rPr>
        <w:t xml:space="preserve">Going </w:t>
      </w:r>
      <w:proofErr w:type="gramStart"/>
      <w:r w:rsidRPr="002005B9">
        <w:rPr>
          <w:i/>
        </w:rPr>
        <w:t>Dutch</w:t>
      </w:r>
      <w:r>
        <w:t>,</w:t>
      </w:r>
      <w:proofErr w:type="gramEnd"/>
      <w:r>
        <w:t xml:space="preserve"> </w:t>
      </w:r>
      <w:r>
        <w:rPr>
          <w:i/>
        </w:rPr>
        <w:t xml:space="preserve">supra </w:t>
      </w:r>
      <w:r>
        <w:t>note 99 (describing this feature of the Dutch data pro</w:t>
      </w:r>
      <w:r w:rsidR="00F82ED4">
        <w:t>tection code of conduct program).</w:t>
      </w:r>
    </w:p>
  </w:footnote>
  <w:footnote w:id="132">
    <w:p w:rsidR="00213D46" w:rsidRPr="00F81C71" w:rsidRDefault="00213D46">
      <w:pPr>
        <w:pStyle w:val="FootnoteText"/>
        <w:rPr>
          <w:i/>
        </w:rPr>
      </w:pPr>
      <w:r>
        <w:rPr>
          <w:rStyle w:val="FootnoteReference"/>
        </w:rPr>
        <w:footnoteRef/>
      </w:r>
      <w:r>
        <w:t xml:space="preserve"> </w:t>
      </w:r>
      <w:r>
        <w:rPr>
          <w:i/>
        </w:rPr>
        <w:t xml:space="preserve">Id. </w:t>
      </w:r>
    </w:p>
  </w:footnote>
  <w:footnote w:id="133">
    <w:p w:rsidR="00213D46" w:rsidRPr="00461749" w:rsidRDefault="00213D46">
      <w:pPr>
        <w:pStyle w:val="FootnoteText"/>
      </w:pPr>
      <w:r>
        <w:rPr>
          <w:rStyle w:val="FootnoteReference"/>
        </w:rPr>
        <w:footnoteRef/>
      </w:r>
      <w:r>
        <w:t xml:space="preserve"> </w:t>
      </w:r>
      <w:proofErr w:type="gramStart"/>
      <w:r>
        <w:rPr>
          <w:i/>
        </w:rPr>
        <w:t xml:space="preserve">Id </w:t>
      </w:r>
      <w:r>
        <w:t>(providing Appendix that identifies all twenty approved Dutch codes.</w:t>
      </w:r>
      <w:proofErr w:type="gramEnd"/>
    </w:p>
  </w:footnote>
  <w:footnote w:id="134">
    <w:p w:rsidR="00213D46" w:rsidRPr="00461749" w:rsidRDefault="00213D46">
      <w:pPr>
        <w:pStyle w:val="FootnoteText"/>
      </w:pPr>
      <w:r>
        <w:rPr>
          <w:rStyle w:val="FootnoteReference"/>
        </w:rPr>
        <w:footnoteRef/>
      </w:r>
      <w:r>
        <w:t xml:space="preserve"> </w:t>
      </w:r>
      <w:proofErr w:type="gramStart"/>
      <w:r>
        <w:rPr>
          <w:i/>
        </w:rPr>
        <w:t xml:space="preserve">Id. </w:t>
      </w:r>
      <w:r>
        <w:t>(providing examples of such tailoring).</w:t>
      </w:r>
      <w:proofErr w:type="gramEnd"/>
    </w:p>
  </w:footnote>
  <w:footnote w:id="135">
    <w:p w:rsidR="00213D46" w:rsidRPr="00F05C8F" w:rsidRDefault="00213D46">
      <w:pPr>
        <w:pStyle w:val="FootnoteText"/>
      </w:pPr>
      <w:r>
        <w:rPr>
          <w:rStyle w:val="FootnoteReference"/>
        </w:rPr>
        <w:footnoteRef/>
      </w:r>
      <w:r>
        <w:t xml:space="preserve"> </w:t>
      </w:r>
      <w:proofErr w:type="gramStart"/>
      <w:r>
        <w:rPr>
          <w:i/>
        </w:rPr>
        <w:t xml:space="preserve">Id. </w:t>
      </w:r>
      <w:r>
        <w:t>(providing Appendix that lists these codes).</w:t>
      </w:r>
      <w:proofErr w:type="gramEnd"/>
    </w:p>
  </w:footnote>
  <w:footnote w:id="136">
    <w:p w:rsidR="002C6DEF" w:rsidRPr="002C6DEF" w:rsidRDefault="002C6DEF">
      <w:pPr>
        <w:pStyle w:val="FootnoteText"/>
      </w:pPr>
      <w:r>
        <w:rPr>
          <w:rStyle w:val="FootnoteReference"/>
        </w:rPr>
        <w:footnoteRef/>
      </w:r>
      <w:r>
        <w:t xml:space="preserve"> </w:t>
      </w:r>
      <w:r>
        <w:rPr>
          <w:i/>
        </w:rPr>
        <w:t xml:space="preserve">See </w:t>
      </w:r>
      <w:r>
        <w:t xml:space="preserve">Priest, </w:t>
      </w:r>
      <w:r>
        <w:rPr>
          <w:i/>
        </w:rPr>
        <w:t xml:space="preserve">supra </w:t>
      </w:r>
      <w:r>
        <w:t>note 70 (industry-based approaches, supervised by government, provide a “strong accountability mechanism”).</w:t>
      </w:r>
    </w:p>
  </w:footnote>
  <w:footnote w:id="137">
    <w:p w:rsidR="00213D46" w:rsidRPr="00FF2699" w:rsidRDefault="00213D46">
      <w:pPr>
        <w:pStyle w:val="FootnoteText"/>
      </w:pPr>
      <w:r>
        <w:rPr>
          <w:rStyle w:val="FootnoteReference"/>
        </w:rPr>
        <w:footnoteRef/>
      </w:r>
      <w:r>
        <w:t xml:space="preserve"> </w:t>
      </w:r>
      <w:r>
        <w:rPr>
          <w:i/>
        </w:rPr>
        <w:t xml:space="preserve">See supra </w:t>
      </w:r>
      <w:r>
        <w:t>note</w:t>
      </w:r>
      <w:r w:rsidR="002C6DEF">
        <w:t xml:space="preserve"> 130</w:t>
      </w:r>
      <w:r>
        <w:t xml:space="preserve"> and accompanying text.</w:t>
      </w:r>
    </w:p>
  </w:footnote>
  <w:footnote w:id="138">
    <w:p w:rsidR="00213D46" w:rsidRPr="00C2048C" w:rsidRDefault="00213D46">
      <w:pPr>
        <w:pStyle w:val="FootnoteText"/>
        <w:rPr>
          <w:b/>
        </w:rPr>
      </w:pPr>
      <w:r>
        <w:rPr>
          <w:rStyle w:val="FootnoteReference"/>
        </w:rPr>
        <w:footnoteRef/>
      </w:r>
      <w:r>
        <w:t xml:space="preserve"> </w:t>
      </w:r>
      <w:r>
        <w:rPr>
          <w:i/>
        </w:rPr>
        <w:t xml:space="preserve">See </w:t>
      </w:r>
      <w:r>
        <w:t xml:space="preserve">Hirsch, </w:t>
      </w:r>
      <w:r>
        <w:rPr>
          <w:i/>
        </w:rPr>
        <w:t>Going Dutch</w:t>
      </w:r>
      <w:r>
        <w:t xml:space="preserve">, </w:t>
      </w:r>
      <w:r>
        <w:rPr>
          <w:i/>
        </w:rPr>
        <w:t xml:space="preserve">supra </w:t>
      </w:r>
      <w:r>
        <w:t>note 99.</w:t>
      </w:r>
    </w:p>
  </w:footnote>
  <w:footnote w:id="139">
    <w:p w:rsidR="00213D46" w:rsidRPr="00EC0FBC" w:rsidRDefault="00213D46">
      <w:pPr>
        <w:pStyle w:val="FootnoteText"/>
      </w:pPr>
      <w:r>
        <w:rPr>
          <w:rStyle w:val="FootnoteReference"/>
        </w:rPr>
        <w:footnoteRef/>
      </w:r>
      <w:r>
        <w:t xml:space="preserve"> The Network Advertising Initiative is a group of more than 90 online advertising companies that has adopted a code of conduct for protecting consumer privacy in interest-based advertising.  </w:t>
      </w:r>
      <w:r>
        <w:rPr>
          <w:i/>
        </w:rPr>
        <w:t xml:space="preserve">See </w:t>
      </w:r>
      <w:hyperlink r:id="rId12" w:history="1">
        <w:r w:rsidRPr="009B6E22">
          <w:rPr>
            <w:rStyle w:val="Hyperlink"/>
          </w:rPr>
          <w:t>http://www.networkadvertising.org/</w:t>
        </w:r>
      </w:hyperlink>
      <w:r>
        <w:t xml:space="preserve"> (last visited July 15, 2013) (describing the NAI and providing a link to the 2013 NAI code of conduc</w:t>
      </w:r>
      <w:r w:rsidR="001C6D99">
        <w:t>t).  T</w:t>
      </w:r>
      <w:r>
        <w:t>he purpose of this sector-based self-regulatory organization is to encourage best practices among industry members and so, perhaps, to obviate the need for direct government regulation of behavioral advertisers.  NAI thus has a domestic, rather than an international, focus.  Still, it can serve as an example of a self-regulatory, sector-based code.</w:t>
      </w:r>
    </w:p>
  </w:footnote>
  <w:footnote w:id="140">
    <w:p w:rsidR="00213D46" w:rsidRDefault="00213D46">
      <w:pPr>
        <w:pStyle w:val="FootnoteText"/>
      </w:pPr>
      <w:r>
        <w:rPr>
          <w:rStyle w:val="FootnoteReference"/>
        </w:rPr>
        <w:footnoteRef/>
      </w:r>
      <w:r>
        <w:t xml:space="preserve"> It would leave out parts of South America and Africa for which there is not yet a regional organization that could approve such a code.  This is an important omission insofar as it could increase the costs of doing business in these areas as compared to those in which regional authorities had approved the code.  One solution would be for South America and Africa to develop regional privacy organizations similar to APEC that could adopt privacy principles and approve codes consistent with these principles.</w:t>
      </w:r>
    </w:p>
  </w:footnote>
  <w:footnote w:id="141">
    <w:p w:rsidR="00213D46" w:rsidRDefault="00213D46">
      <w:pPr>
        <w:pStyle w:val="FootnoteText"/>
      </w:pPr>
      <w:r>
        <w:rPr>
          <w:rStyle w:val="FootnoteReference"/>
        </w:rPr>
        <w:footnoteRef/>
      </w:r>
      <w:r>
        <w:t xml:space="preserve">1995 Directive, </w:t>
      </w:r>
      <w:r>
        <w:rPr>
          <w:i/>
        </w:rPr>
        <w:t xml:space="preserve">supra </w:t>
      </w:r>
      <w:r>
        <w:t xml:space="preserve">note 44, art. </w:t>
      </w:r>
      <w:proofErr w:type="gramStart"/>
      <w:r>
        <w:t>27(2), (3).</w:t>
      </w:r>
      <w:proofErr w:type="gramEnd"/>
      <w:r>
        <w:t xml:space="preserve">  </w:t>
      </w:r>
    </w:p>
  </w:footnote>
  <w:footnote w:id="142">
    <w:p w:rsidR="00213D46" w:rsidRPr="00AF1AC6" w:rsidRDefault="00213D46" w:rsidP="008046AB">
      <w:pPr>
        <w:pStyle w:val="FootnoteText"/>
        <w:rPr>
          <w:i/>
        </w:rPr>
      </w:pPr>
      <w:r>
        <w:rPr>
          <w:rStyle w:val="FootnoteReference"/>
        </w:rPr>
        <w:footnoteRef/>
      </w:r>
      <w:r>
        <w:t xml:space="preserve"> </w:t>
      </w:r>
      <w:r>
        <w:rPr>
          <w:i/>
        </w:rPr>
        <w:t>Id.</w:t>
      </w:r>
    </w:p>
  </w:footnote>
  <w:footnote w:id="143">
    <w:p w:rsidR="00213D46" w:rsidRPr="00AF1AC6" w:rsidRDefault="00213D46">
      <w:pPr>
        <w:pStyle w:val="FootnoteText"/>
        <w:rPr>
          <w:i/>
        </w:rPr>
      </w:pPr>
      <w:r>
        <w:rPr>
          <w:rStyle w:val="FootnoteReference"/>
        </w:rPr>
        <w:footnoteRef/>
      </w:r>
      <w:r>
        <w:t xml:space="preserve"> </w:t>
      </w:r>
      <w:r>
        <w:rPr>
          <w:i/>
        </w:rPr>
        <w:t>Id.</w:t>
      </w:r>
    </w:p>
  </w:footnote>
  <w:footnote w:id="144">
    <w:p w:rsidR="00213D46" w:rsidRDefault="00213D46">
      <w:pPr>
        <w:pStyle w:val="FootnoteText"/>
      </w:pPr>
      <w:r>
        <w:rPr>
          <w:rStyle w:val="FootnoteReference"/>
        </w:rPr>
        <w:footnoteRef/>
      </w:r>
      <w:r>
        <w:t xml:space="preserve"> </w:t>
      </w:r>
      <w:proofErr w:type="gramStart"/>
      <w:r>
        <w:t xml:space="preserve">Article 29 Working Party, </w:t>
      </w:r>
      <w:r w:rsidRPr="004C782F">
        <w:rPr>
          <w:i/>
        </w:rPr>
        <w:t xml:space="preserve">Opinion 3/2003 on the European Code of Conduct of FEDMA for the use of personal data in direct marketing </w:t>
      </w:r>
      <w:r>
        <w:t>(June 13, 2003).</w:t>
      </w:r>
      <w:proofErr w:type="gramEnd"/>
    </w:p>
  </w:footnote>
  <w:footnote w:id="145">
    <w:p w:rsidR="00213D46" w:rsidRPr="004C782F" w:rsidRDefault="00213D46">
      <w:pPr>
        <w:pStyle w:val="FootnoteText"/>
      </w:pPr>
      <w:r>
        <w:rPr>
          <w:rStyle w:val="FootnoteReference"/>
        </w:rPr>
        <w:footnoteRef/>
      </w:r>
      <w:r>
        <w:t xml:space="preserve"> </w:t>
      </w:r>
      <w:r>
        <w:rPr>
          <w:i/>
        </w:rPr>
        <w:t xml:space="preserve">Id. </w:t>
      </w:r>
      <w:r>
        <w:t>at 3-4.</w:t>
      </w:r>
    </w:p>
  </w:footnote>
  <w:footnote w:id="146">
    <w:p w:rsidR="00213D46" w:rsidRPr="004C782F" w:rsidRDefault="00213D46">
      <w:pPr>
        <w:pStyle w:val="FootnoteText"/>
      </w:pPr>
      <w:r>
        <w:rPr>
          <w:rStyle w:val="FootnoteReference"/>
        </w:rPr>
        <w:footnoteRef/>
      </w:r>
      <w:r>
        <w:t xml:space="preserve"> Article 29 Working Party, </w:t>
      </w:r>
      <w:r>
        <w:rPr>
          <w:i/>
        </w:rPr>
        <w:t xml:space="preserve">Opinion 4/2010 on the European Code of Conduct for the Use of Personal Data in Direct Marketing </w:t>
      </w:r>
      <w:r>
        <w:t>(July 13, 2010).</w:t>
      </w:r>
    </w:p>
  </w:footnote>
  <w:footnote w:id="147">
    <w:p w:rsidR="00213D46" w:rsidRPr="00E2266C" w:rsidRDefault="00213D46">
      <w:pPr>
        <w:pStyle w:val="FootnoteText"/>
      </w:pPr>
      <w:r>
        <w:rPr>
          <w:rStyle w:val="FootnoteReference"/>
        </w:rPr>
        <w:footnoteRef/>
      </w:r>
      <w:r>
        <w:t xml:space="preserve"> European Commission, </w:t>
      </w:r>
      <w:r>
        <w:rPr>
          <w:i/>
        </w:rPr>
        <w:t xml:space="preserve">Proposal for a Regulation of the European Parliament and of the Council on the Protection of Individuals with Regard to the Processing of Personal Data and on the Free Movement of Such Data (General Data Protection Regulation) </w:t>
      </w:r>
      <w:r>
        <w:t>(January 25, 2012) [hereinafter “Draft General Regulation”]</w:t>
      </w:r>
    </w:p>
  </w:footnote>
  <w:footnote w:id="148">
    <w:p w:rsidR="00213D46" w:rsidRDefault="00213D46">
      <w:pPr>
        <w:pStyle w:val="FootnoteText"/>
      </w:pPr>
      <w:r>
        <w:rPr>
          <w:rStyle w:val="FootnoteReference"/>
        </w:rPr>
        <w:footnoteRef/>
      </w:r>
      <w:proofErr w:type="gramStart"/>
      <w:r>
        <w:rPr>
          <w:i/>
        </w:rPr>
        <w:t xml:space="preserve">Id., </w:t>
      </w:r>
      <w:r>
        <w:t>art.</w:t>
      </w:r>
      <w:proofErr w:type="gramEnd"/>
      <w:r>
        <w:t xml:space="preserve"> </w:t>
      </w:r>
      <w:proofErr w:type="gramStart"/>
      <w:r>
        <w:t>38(1).</w:t>
      </w:r>
      <w:proofErr w:type="gramEnd"/>
    </w:p>
  </w:footnote>
  <w:footnote w:id="149">
    <w:p w:rsidR="00213D46" w:rsidRDefault="00213D46">
      <w:pPr>
        <w:pStyle w:val="FootnoteText"/>
      </w:pPr>
      <w:r>
        <w:rPr>
          <w:rStyle w:val="FootnoteReference"/>
        </w:rPr>
        <w:footnoteRef/>
      </w:r>
      <w:proofErr w:type="gramStart"/>
      <w:r>
        <w:rPr>
          <w:i/>
        </w:rPr>
        <w:t xml:space="preserve">Id. </w:t>
      </w:r>
      <w:r>
        <w:t>art.</w:t>
      </w:r>
      <w:proofErr w:type="gramEnd"/>
      <w:r>
        <w:t xml:space="preserve"> </w:t>
      </w:r>
      <w:proofErr w:type="gramStart"/>
      <w:r>
        <w:t>38(3).</w:t>
      </w:r>
      <w:proofErr w:type="gramEnd"/>
    </w:p>
  </w:footnote>
  <w:footnote w:id="150">
    <w:p w:rsidR="00213D46" w:rsidRDefault="00213D46">
      <w:pPr>
        <w:pStyle w:val="FootnoteText"/>
      </w:pPr>
      <w:r>
        <w:rPr>
          <w:rStyle w:val="FootnoteReference"/>
        </w:rPr>
        <w:footnoteRef/>
      </w:r>
      <w:r>
        <w:t xml:space="preserve"> </w:t>
      </w:r>
      <w:proofErr w:type="gramStart"/>
      <w:r>
        <w:rPr>
          <w:i/>
        </w:rPr>
        <w:t xml:space="preserve">Id. </w:t>
      </w:r>
      <w:r>
        <w:t>art.</w:t>
      </w:r>
      <w:proofErr w:type="gramEnd"/>
      <w:r>
        <w:t xml:space="preserve"> </w:t>
      </w:r>
      <w:proofErr w:type="gramStart"/>
      <w:r>
        <w:t>38(4).</w:t>
      </w:r>
      <w:proofErr w:type="gramEnd"/>
    </w:p>
  </w:footnote>
  <w:footnote w:id="151">
    <w:p w:rsidR="00213D46" w:rsidRPr="00EB016E" w:rsidRDefault="00213D46">
      <w:pPr>
        <w:pStyle w:val="FootnoteText"/>
      </w:pPr>
      <w:r>
        <w:rPr>
          <w:rStyle w:val="FootnoteReference"/>
        </w:rPr>
        <w:footnoteRef/>
      </w:r>
      <w:r>
        <w:t xml:space="preserve"> </w:t>
      </w:r>
      <w:r>
        <w:rPr>
          <w:i/>
        </w:rPr>
        <w:t xml:space="preserve">See supra </w:t>
      </w:r>
      <w:r>
        <w:t>note</w:t>
      </w:r>
      <w:r w:rsidR="002C3C3A">
        <w:t xml:space="preserve"> 114</w:t>
      </w:r>
      <w:r>
        <w:t xml:space="preserve"> and accompanying text.</w:t>
      </w:r>
    </w:p>
  </w:footnote>
  <w:footnote w:id="152">
    <w:p w:rsidR="00213D46" w:rsidRPr="0055465C" w:rsidRDefault="00213D46">
      <w:pPr>
        <w:pStyle w:val="FootnoteText"/>
      </w:pPr>
      <w:r>
        <w:rPr>
          <w:rStyle w:val="FootnoteReference"/>
        </w:rPr>
        <w:footnoteRef/>
      </w:r>
      <w:r>
        <w:t xml:space="preserve"> </w:t>
      </w:r>
      <w:r>
        <w:rPr>
          <w:i/>
        </w:rPr>
        <w:t xml:space="preserve">See supra </w:t>
      </w:r>
      <w:r>
        <w:t>note</w:t>
      </w:r>
      <w:r w:rsidR="00F33535">
        <w:t xml:space="preserve"> 14</w:t>
      </w:r>
      <w:r w:rsidR="002C6DEF">
        <w:t>6</w:t>
      </w:r>
      <w:r>
        <w:t xml:space="preserve"> and accompanying text.</w:t>
      </w:r>
    </w:p>
  </w:footnote>
  <w:footnote w:id="153">
    <w:p w:rsidR="00213D46" w:rsidRDefault="00213D46" w:rsidP="00217832">
      <w:pPr>
        <w:autoSpaceDE w:val="0"/>
        <w:autoSpaceDN w:val="0"/>
        <w:adjustRightInd w:val="0"/>
        <w:spacing w:after="0" w:line="240" w:lineRule="auto"/>
      </w:pPr>
      <w:r>
        <w:rPr>
          <w:rStyle w:val="FootnoteReference"/>
        </w:rPr>
        <w:footnoteRef/>
      </w:r>
      <w:r w:rsidRPr="00EC5151">
        <w:rPr>
          <w:rFonts w:cs="TimesNewRomanPSMT"/>
          <w:sz w:val="20"/>
          <w:szCs w:val="20"/>
        </w:rPr>
        <w:t>Commercial Privacy Bill of Rights Act of 2</w:t>
      </w:r>
      <w:r>
        <w:rPr>
          <w:rFonts w:cs="TimesNewRomanPSMT"/>
          <w:sz w:val="20"/>
          <w:szCs w:val="20"/>
        </w:rPr>
        <w:t>011, S. 799, 112th Cong. (2011);</w:t>
      </w:r>
      <w:r w:rsidRPr="00EC5151">
        <w:rPr>
          <w:rFonts w:cs="TimesNewRomanPSMT"/>
          <w:sz w:val="20"/>
          <w:szCs w:val="20"/>
        </w:rPr>
        <w:t xml:space="preserve"> </w:t>
      </w:r>
      <w:proofErr w:type="gramStart"/>
      <w:r>
        <w:rPr>
          <w:rFonts w:cs="TimesNewRomanPSMT"/>
          <w:sz w:val="20"/>
          <w:szCs w:val="20"/>
        </w:rPr>
        <w:t>The</w:t>
      </w:r>
      <w:proofErr w:type="gramEnd"/>
      <w:r>
        <w:rPr>
          <w:rFonts w:cs="TimesNewRomanPSMT"/>
          <w:sz w:val="20"/>
          <w:szCs w:val="20"/>
        </w:rPr>
        <w:t xml:space="preserve"> BEST PRACTICES Act of 2011, H.R. 611, 112th Cong. </w:t>
      </w:r>
      <w:r w:rsidRPr="00EC5151">
        <w:rPr>
          <w:rFonts w:cs="TimesNewRomanPSMT"/>
          <w:sz w:val="20"/>
          <w:szCs w:val="20"/>
        </w:rPr>
        <w:t xml:space="preserve">(2011); </w:t>
      </w:r>
      <w:r>
        <w:rPr>
          <w:rFonts w:cs="TimesNewRomanPSMT"/>
          <w:sz w:val="20"/>
          <w:szCs w:val="20"/>
        </w:rPr>
        <w:t xml:space="preserve">The Consumer Privacy Protection Act of 2011, </w:t>
      </w:r>
      <w:r w:rsidRPr="00EC5151">
        <w:rPr>
          <w:rFonts w:cs="TimesNewRomanPSMT"/>
          <w:sz w:val="20"/>
          <w:szCs w:val="20"/>
        </w:rPr>
        <w:t>H.</w:t>
      </w:r>
      <w:r>
        <w:rPr>
          <w:rFonts w:cs="TimesNewRomanPSMT"/>
          <w:sz w:val="20"/>
          <w:szCs w:val="20"/>
        </w:rPr>
        <w:t>R. 1528, 112th Cong. § 9 (2011).</w:t>
      </w:r>
      <w:r>
        <w:t xml:space="preserve"> </w:t>
      </w:r>
    </w:p>
  </w:footnote>
  <w:footnote w:id="154">
    <w:p w:rsidR="00213D46" w:rsidRDefault="00213D46">
      <w:pPr>
        <w:pStyle w:val="FootnoteText"/>
      </w:pPr>
      <w:r>
        <w:rPr>
          <w:rStyle w:val="FootnoteReference"/>
        </w:rPr>
        <w:footnoteRef/>
      </w:r>
      <w:r w:rsidRPr="00EC5151">
        <w:rPr>
          <w:rFonts w:cs="TimesNewRomanPSMT"/>
        </w:rPr>
        <w:t>Commercial Privacy Bill of Rights Act of 2</w:t>
      </w:r>
      <w:r>
        <w:rPr>
          <w:rFonts w:cs="TimesNewRomanPSMT"/>
        </w:rPr>
        <w:t>011, S. 799, 112th Cong. (2011).</w:t>
      </w:r>
      <w:r>
        <w:t xml:space="preserve"> </w:t>
      </w:r>
    </w:p>
  </w:footnote>
  <w:footnote w:id="155">
    <w:p w:rsidR="00213D46" w:rsidRPr="00217832" w:rsidRDefault="00213D46" w:rsidP="00074919">
      <w:pPr>
        <w:pStyle w:val="FootnoteText"/>
      </w:pPr>
      <w:r>
        <w:rPr>
          <w:rStyle w:val="FootnoteReference"/>
        </w:rPr>
        <w:footnoteRef/>
      </w:r>
      <w:r>
        <w:t xml:space="preserve"> </w:t>
      </w:r>
      <w:r>
        <w:rPr>
          <w:i/>
        </w:rPr>
        <w:t xml:space="preserve">Id. </w:t>
      </w:r>
      <w:r>
        <w:t>§§ 101-303.</w:t>
      </w:r>
    </w:p>
  </w:footnote>
  <w:footnote w:id="156">
    <w:p w:rsidR="00213D46" w:rsidRDefault="00213D46" w:rsidP="00440E9A">
      <w:pPr>
        <w:pStyle w:val="FootnoteText"/>
      </w:pPr>
      <w:r>
        <w:rPr>
          <w:rStyle w:val="FootnoteReference"/>
        </w:rPr>
        <w:footnoteRef/>
      </w:r>
      <w:r>
        <w:t xml:space="preserve"> </w:t>
      </w:r>
      <w:proofErr w:type="gramStart"/>
      <w:r>
        <w:rPr>
          <w:i/>
        </w:rPr>
        <w:t xml:space="preserve">Id. </w:t>
      </w:r>
      <w:r>
        <w:t>§§ 501, 502.</w:t>
      </w:r>
      <w:proofErr w:type="gramEnd"/>
    </w:p>
  </w:footnote>
  <w:footnote w:id="157">
    <w:p w:rsidR="00213D46" w:rsidRPr="00217832" w:rsidRDefault="00213D46" w:rsidP="00074919">
      <w:pPr>
        <w:pStyle w:val="FootnoteText"/>
        <w:rPr>
          <w:i/>
        </w:rPr>
      </w:pPr>
      <w:r>
        <w:rPr>
          <w:rStyle w:val="FootnoteReference"/>
        </w:rPr>
        <w:footnoteRef/>
      </w:r>
      <w:r>
        <w:t xml:space="preserve"> </w:t>
      </w:r>
      <w:r>
        <w:rPr>
          <w:i/>
        </w:rPr>
        <w:t>Id.</w:t>
      </w:r>
    </w:p>
  </w:footnote>
  <w:footnote w:id="158">
    <w:p w:rsidR="00213D46" w:rsidRPr="00AC7CF8" w:rsidRDefault="00213D46" w:rsidP="003A1712">
      <w:pPr>
        <w:pStyle w:val="FootnoteText"/>
      </w:pPr>
      <w:r>
        <w:rPr>
          <w:rStyle w:val="FootnoteReference"/>
        </w:rPr>
        <w:footnoteRef/>
      </w:r>
      <w:r>
        <w:t xml:space="preserve"> This should not be surprising given that these sets of laws share a common root: the Fair Information Privacy Practices that the U.S. Department of Health, Education and Welfare (HEW), and later the </w:t>
      </w:r>
      <w:r w:rsidR="00F33535">
        <w:t>OECD articulated.</w:t>
      </w:r>
    </w:p>
  </w:footnote>
  <w:footnote w:id="159">
    <w:p w:rsidR="00213D46" w:rsidRDefault="00213D46" w:rsidP="002225D7">
      <w:pPr>
        <w:pStyle w:val="FootnoteText"/>
      </w:pPr>
      <w:r>
        <w:rPr>
          <w:rStyle w:val="FootnoteReference"/>
        </w:rPr>
        <w:footnoteRef/>
      </w:r>
      <w:r>
        <w:t xml:space="preserve"> Cf. </w:t>
      </w:r>
      <w:proofErr w:type="spellStart"/>
      <w:r>
        <w:t>Reidenberg</w:t>
      </w:r>
      <w:proofErr w:type="spellEnd"/>
      <w:r w:rsidR="00F33535">
        <w:t xml:space="preserve">, </w:t>
      </w:r>
      <w:r w:rsidR="00F33535">
        <w:rPr>
          <w:i/>
        </w:rPr>
        <w:t xml:space="preserve">supra </w:t>
      </w:r>
      <w:r w:rsidR="00F33535">
        <w:t>note 2,</w:t>
      </w:r>
      <w:r>
        <w:t xml:space="preserve"> at 1332-1335 (describing instances in which jurisdictions subscribe to the same privacy principles but interpret them quite differently).</w:t>
      </w:r>
    </w:p>
  </w:footnote>
  <w:footnote w:id="160">
    <w:p w:rsidR="00213D46" w:rsidRPr="00135A76" w:rsidRDefault="00213D46">
      <w:pPr>
        <w:pStyle w:val="FootnoteText"/>
      </w:pPr>
      <w:r>
        <w:rPr>
          <w:rStyle w:val="FootnoteReference"/>
        </w:rPr>
        <w:footnoteRef/>
      </w:r>
      <w:r>
        <w:t xml:space="preserve"> The White House, </w:t>
      </w:r>
      <w:r>
        <w:rPr>
          <w:i/>
        </w:rPr>
        <w:t>Consumer Data Privacy in a Networked World: A Framework for Protecting Privacy and Promoting Innovation in the Global Digital Economy</w:t>
      </w:r>
      <w:r>
        <w:t xml:space="preserve"> 23-29 (Feb. 2012).</w:t>
      </w:r>
    </w:p>
  </w:footnote>
  <w:footnote w:id="161">
    <w:p w:rsidR="00213D46" w:rsidRPr="00135A76" w:rsidRDefault="00213D46">
      <w:pPr>
        <w:pStyle w:val="FootnoteText"/>
      </w:pPr>
      <w:r>
        <w:rPr>
          <w:rStyle w:val="FootnoteReference"/>
        </w:rPr>
        <w:footnoteRef/>
      </w:r>
      <w:r>
        <w:t xml:space="preserve"> </w:t>
      </w:r>
      <w:r>
        <w:rPr>
          <w:i/>
        </w:rPr>
        <w:t>Id.</w:t>
      </w:r>
      <w:r>
        <w:t xml:space="preserve"> at 9-22.</w:t>
      </w:r>
    </w:p>
  </w:footnote>
  <w:footnote w:id="162">
    <w:p w:rsidR="00213D46" w:rsidRPr="00135A76" w:rsidRDefault="00213D46">
      <w:pPr>
        <w:pStyle w:val="FootnoteText"/>
      </w:pPr>
      <w:r>
        <w:rPr>
          <w:rStyle w:val="FootnoteReference"/>
        </w:rPr>
        <w:footnoteRef/>
      </w:r>
      <w:r>
        <w:t xml:space="preserve"> </w:t>
      </w:r>
      <w:proofErr w:type="gramStart"/>
      <w:r>
        <w:rPr>
          <w:i/>
        </w:rPr>
        <w:t xml:space="preserve">Id. </w:t>
      </w:r>
      <w:r>
        <w:t>at 23.</w:t>
      </w:r>
      <w:proofErr w:type="gramEnd"/>
    </w:p>
  </w:footnote>
  <w:footnote w:id="163">
    <w:p w:rsidR="00213D46" w:rsidRPr="00135A76" w:rsidRDefault="00213D46">
      <w:pPr>
        <w:pStyle w:val="FootnoteText"/>
      </w:pPr>
      <w:r>
        <w:rPr>
          <w:rStyle w:val="FootnoteReference"/>
        </w:rPr>
        <w:footnoteRef/>
      </w:r>
      <w:r>
        <w:t xml:space="preserve"> </w:t>
      </w:r>
      <w:proofErr w:type="gramStart"/>
      <w:r>
        <w:rPr>
          <w:i/>
        </w:rPr>
        <w:t xml:space="preserve">Id. </w:t>
      </w:r>
      <w:r>
        <w:t>at 37.</w:t>
      </w:r>
      <w:proofErr w:type="gramEnd"/>
      <w:r>
        <w:t xml:space="preserve"> </w:t>
      </w:r>
    </w:p>
  </w:footnote>
  <w:footnote w:id="164">
    <w:p w:rsidR="00213D46" w:rsidRPr="006C2CB2" w:rsidRDefault="00213D46" w:rsidP="00121191">
      <w:pPr>
        <w:pStyle w:val="FootnoteText"/>
      </w:pPr>
      <w:r>
        <w:rPr>
          <w:rStyle w:val="FootnoteReference"/>
        </w:rPr>
        <w:footnoteRef/>
      </w:r>
      <w:r>
        <w:t xml:space="preserve"> </w:t>
      </w:r>
      <w:proofErr w:type="gramStart"/>
      <w:r>
        <w:rPr>
          <w:i/>
        </w:rPr>
        <w:t xml:space="preserve">Id. </w:t>
      </w:r>
      <w:r>
        <w:t>at 33.</w:t>
      </w:r>
      <w:proofErr w:type="gramEnd"/>
    </w:p>
  </w:footnote>
  <w:footnote w:id="165">
    <w:p w:rsidR="00213D46" w:rsidRPr="006C2CB2" w:rsidRDefault="00213D46" w:rsidP="00121191">
      <w:pPr>
        <w:pStyle w:val="FootnoteText"/>
      </w:pPr>
      <w:r>
        <w:rPr>
          <w:rStyle w:val="FootnoteReference"/>
        </w:rPr>
        <w:footnoteRef/>
      </w:r>
      <w:r>
        <w:t xml:space="preserve"> </w:t>
      </w:r>
      <w:proofErr w:type="gramStart"/>
      <w:r>
        <w:rPr>
          <w:i/>
        </w:rPr>
        <w:t xml:space="preserve">Id. </w:t>
      </w:r>
      <w:r>
        <w:t>at 33.</w:t>
      </w:r>
      <w:proofErr w:type="gramEnd"/>
    </w:p>
  </w:footnote>
  <w:footnote w:id="166">
    <w:p w:rsidR="00DE1190" w:rsidRPr="00921B57" w:rsidRDefault="00DE1190" w:rsidP="00DE1190">
      <w:pPr>
        <w:pStyle w:val="FootnoteText"/>
      </w:pPr>
      <w:r>
        <w:rPr>
          <w:rStyle w:val="FootnoteReference"/>
        </w:rPr>
        <w:footnoteRef/>
      </w:r>
      <w:r>
        <w:t xml:space="preserve"> </w:t>
      </w:r>
      <w:proofErr w:type="gramStart"/>
      <w:r>
        <w:rPr>
          <w:i/>
        </w:rPr>
        <w:t xml:space="preserve">Id. </w:t>
      </w:r>
      <w:r>
        <w:t>at 23.</w:t>
      </w:r>
      <w:proofErr w:type="gramEnd"/>
    </w:p>
  </w:footnote>
  <w:footnote w:id="167">
    <w:p w:rsidR="00DE1190" w:rsidRPr="00862D22" w:rsidRDefault="00DE1190" w:rsidP="00DE1190">
      <w:pPr>
        <w:pStyle w:val="FootnoteText"/>
      </w:pPr>
      <w:r>
        <w:rPr>
          <w:rStyle w:val="FootnoteReference"/>
        </w:rPr>
        <w:footnoteRef/>
      </w:r>
      <w:r>
        <w:t xml:space="preserve"> </w:t>
      </w:r>
      <w:proofErr w:type="gramStart"/>
      <w:r>
        <w:rPr>
          <w:i/>
        </w:rPr>
        <w:t>Id.</w:t>
      </w:r>
      <w:r>
        <w:t xml:space="preserve"> at 27.</w:t>
      </w:r>
      <w:proofErr w:type="gramEnd"/>
    </w:p>
  </w:footnote>
  <w:footnote w:id="168">
    <w:p w:rsidR="00B5697E" w:rsidRPr="00B5697E" w:rsidRDefault="00B5697E">
      <w:pPr>
        <w:pStyle w:val="FootnoteText"/>
      </w:pPr>
      <w:r>
        <w:rPr>
          <w:rStyle w:val="FootnoteReference"/>
        </w:rPr>
        <w:footnoteRef/>
      </w:r>
      <w:r>
        <w:t xml:space="preserve"> </w:t>
      </w:r>
      <w:r>
        <w:rPr>
          <w:i/>
        </w:rPr>
        <w:t xml:space="preserve">See generally, </w:t>
      </w:r>
      <w:hyperlink r:id="rId13" w:history="1">
        <w:r w:rsidR="002A4ED0" w:rsidRPr="00234799">
          <w:rPr>
            <w:rStyle w:val="Hyperlink"/>
          </w:rPr>
          <w:t>http://www.ntia.doc.gov/category/privacy</w:t>
        </w:r>
      </w:hyperlink>
      <w:r w:rsidR="002A4ED0">
        <w:t xml:space="preserve"> (last visited July 15, 2013).</w:t>
      </w:r>
    </w:p>
  </w:footnote>
  <w:footnote w:id="169">
    <w:p w:rsidR="0073780E" w:rsidRPr="00A56A31" w:rsidRDefault="0073780E" w:rsidP="0073780E">
      <w:pPr>
        <w:pStyle w:val="FootnoteText"/>
      </w:pPr>
      <w:r>
        <w:rPr>
          <w:rStyle w:val="FootnoteReference"/>
        </w:rPr>
        <w:footnoteRef/>
      </w:r>
      <w:r>
        <w:t xml:space="preserve"> </w:t>
      </w:r>
      <w:proofErr w:type="gramStart"/>
      <w:r>
        <w:rPr>
          <w:i/>
        </w:rPr>
        <w:t xml:space="preserve">Id. </w:t>
      </w:r>
      <w:r>
        <w:t>at 24.</w:t>
      </w:r>
      <w:proofErr w:type="gramEnd"/>
      <w:r>
        <w:t xml:space="preserve">  </w:t>
      </w:r>
    </w:p>
  </w:footnote>
  <w:footnote w:id="170">
    <w:p w:rsidR="0073780E" w:rsidRPr="006C09BA" w:rsidRDefault="0073780E" w:rsidP="0073780E">
      <w:pPr>
        <w:pStyle w:val="FootnoteText"/>
      </w:pPr>
      <w:r>
        <w:rPr>
          <w:rStyle w:val="FootnoteReference"/>
        </w:rPr>
        <w:footnoteRef/>
      </w:r>
      <w:r>
        <w:t xml:space="preserve"> </w:t>
      </w:r>
      <w:proofErr w:type="gramStart"/>
      <w:r>
        <w:rPr>
          <w:i/>
        </w:rPr>
        <w:t>Id.</w:t>
      </w:r>
      <w:r>
        <w:t xml:space="preserve"> at 27.</w:t>
      </w:r>
      <w:proofErr w:type="gramEnd"/>
    </w:p>
  </w:footnote>
  <w:footnote w:id="171">
    <w:p w:rsidR="00C91B29" w:rsidRPr="003570B4" w:rsidRDefault="00C91B29" w:rsidP="00C91B29">
      <w:pPr>
        <w:pStyle w:val="FootnoteText"/>
      </w:pPr>
      <w:r>
        <w:rPr>
          <w:rStyle w:val="FootnoteReference"/>
        </w:rPr>
        <w:footnoteRef/>
      </w:r>
      <w:r>
        <w:t xml:space="preserve"> </w:t>
      </w:r>
      <w:r w:rsidRPr="003570B4">
        <w:rPr>
          <w:rFonts w:cs="Times New Roman"/>
          <w:kern w:val="24"/>
        </w:rPr>
        <w:t xml:space="preserve">To make such a system even more useful, Congress should pass comprehensive privacy legislation, along the lines of the Consumer Privacy Bill of Rights Act of </w:t>
      </w:r>
      <w:proofErr w:type="gramStart"/>
      <w:r w:rsidRPr="003570B4">
        <w:rPr>
          <w:rFonts w:cs="Times New Roman"/>
          <w:kern w:val="24"/>
        </w:rPr>
        <w:t>2011</w:t>
      </w:r>
      <w:r>
        <w:rPr>
          <w:rFonts w:cs="Times New Roman"/>
          <w:kern w:val="24"/>
        </w:rPr>
        <w:t>,</w:t>
      </w:r>
      <w:r w:rsidR="00687521">
        <w:rPr>
          <w:rFonts w:cs="Times New Roman"/>
          <w:kern w:val="24"/>
        </w:rPr>
        <w:t xml:space="preserve"> </w:t>
      </w:r>
      <w:r w:rsidRPr="003570B4">
        <w:rPr>
          <w:rFonts w:cs="Times New Roman"/>
          <w:kern w:val="24"/>
        </w:rPr>
        <w:t>that</w:t>
      </w:r>
      <w:proofErr w:type="gramEnd"/>
      <w:r w:rsidRPr="003570B4">
        <w:rPr>
          <w:rFonts w:cs="Times New Roman"/>
          <w:kern w:val="24"/>
        </w:rPr>
        <w:t xml:space="preserve"> includes </w:t>
      </w:r>
      <w:r>
        <w:rPr>
          <w:rFonts w:cs="Times New Roman"/>
          <w:kern w:val="24"/>
        </w:rPr>
        <w:t xml:space="preserve">a </w:t>
      </w:r>
      <w:r w:rsidRPr="003570B4">
        <w:rPr>
          <w:rFonts w:cs="Times New Roman"/>
          <w:kern w:val="24"/>
        </w:rPr>
        <w:t xml:space="preserve">safe harbor program for industry sectors. This would increase the strength of the U.S. safe harbor </w:t>
      </w:r>
      <w:r>
        <w:rPr>
          <w:rFonts w:cs="Times New Roman"/>
          <w:kern w:val="24"/>
        </w:rPr>
        <w:t xml:space="preserve">beyond that which the APEC system alone would provide, and so would </w:t>
      </w:r>
      <w:r w:rsidRPr="003570B4">
        <w:rPr>
          <w:rFonts w:cs="Times New Roman"/>
          <w:kern w:val="24"/>
        </w:rPr>
        <w:t xml:space="preserve">make it similar to </w:t>
      </w:r>
      <w:r>
        <w:rPr>
          <w:rFonts w:cs="Times New Roman"/>
          <w:kern w:val="24"/>
        </w:rPr>
        <w:t xml:space="preserve">the safe harbor that the </w:t>
      </w:r>
      <w:r w:rsidRPr="003570B4">
        <w:rPr>
          <w:rFonts w:cs="Times New Roman"/>
          <w:kern w:val="24"/>
        </w:rPr>
        <w:t xml:space="preserve">1995 Directive creates.  It would ensure that, with respect to the U.S. and </w:t>
      </w:r>
      <w:r w:rsidR="001C6D99">
        <w:rPr>
          <w:rFonts w:cs="Times New Roman"/>
          <w:kern w:val="24"/>
        </w:rPr>
        <w:t xml:space="preserve">E.U. </w:t>
      </w:r>
      <w:r w:rsidRPr="003570B4">
        <w:rPr>
          <w:rFonts w:cs="Times New Roman"/>
          <w:kern w:val="24"/>
        </w:rPr>
        <w:t>at least, companies that followed an approved, sector-based code gain the benefit of a strong legal safe harbor. This would encourage sectors to draft and negotiate such codes</w:t>
      </w:r>
      <w:r>
        <w:rPr>
          <w:rFonts w:cs="Times New Roman"/>
          <w:kern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C46C8"/>
    <w:lvl w:ilvl="0">
      <w:numFmt w:val="bullet"/>
      <w:lvlText w:val="*"/>
      <w:lvlJc w:val="left"/>
    </w:lvl>
  </w:abstractNum>
  <w:abstractNum w:abstractNumId="1">
    <w:nsid w:val="028E20B8"/>
    <w:multiLevelType w:val="hybridMultilevel"/>
    <w:tmpl w:val="BE58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01580"/>
    <w:multiLevelType w:val="hybridMultilevel"/>
    <w:tmpl w:val="19726C34"/>
    <w:lvl w:ilvl="0" w:tplc="0CE62B0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22677F"/>
    <w:multiLevelType w:val="hybridMultilevel"/>
    <w:tmpl w:val="B50076EA"/>
    <w:lvl w:ilvl="0" w:tplc="64E86CA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E77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5F6ECC"/>
    <w:multiLevelType w:val="multilevel"/>
    <w:tmpl w:val="70D4E270"/>
    <w:lvl w:ilvl="0">
      <w:start w:val="1"/>
      <w:numFmt w:val="decimal"/>
      <w:lvlText w:val="%1)"/>
      <w:lvlJc w:val="left"/>
      <w:pPr>
        <w:ind w:left="360" w:hanging="360"/>
      </w:pPr>
    </w:lvl>
    <w:lvl w:ilvl="1">
      <w:start w:val="1"/>
      <w:numFmt w:val="upperLetter"/>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99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6C8343C"/>
    <w:multiLevelType w:val="hybridMultilevel"/>
    <w:tmpl w:val="44FA8754"/>
    <w:lvl w:ilvl="0" w:tplc="F566E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85159B"/>
    <w:multiLevelType w:val="hybridMultilevel"/>
    <w:tmpl w:val="49443772"/>
    <w:lvl w:ilvl="0" w:tplc="B76C295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B6668"/>
    <w:multiLevelType w:val="hybridMultilevel"/>
    <w:tmpl w:val="B9044524"/>
    <w:lvl w:ilvl="0" w:tplc="F30245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273782"/>
    <w:multiLevelType w:val="hybridMultilevel"/>
    <w:tmpl w:val="B930FA56"/>
    <w:lvl w:ilvl="0" w:tplc="04E42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4C2E37"/>
    <w:multiLevelType w:val="hybridMultilevel"/>
    <w:tmpl w:val="F8045EB4"/>
    <w:lvl w:ilvl="0" w:tplc="DC6EFC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A87334"/>
    <w:multiLevelType w:val="hybridMultilevel"/>
    <w:tmpl w:val="B34E3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4573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04975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99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 w:ilvl="0">
        <w:numFmt w:val="bullet"/>
        <w:lvlText w:val="•"/>
        <w:legacy w:legacy="1" w:legacySpace="0" w:legacyIndent="0"/>
        <w:lvlJc w:val="left"/>
        <w:rPr>
          <w:rFonts w:ascii="Arial" w:hAnsi="Arial" w:cs="Arial" w:hint="default"/>
          <w:sz w:val="48"/>
        </w:rPr>
      </w:lvl>
    </w:lvlOverride>
  </w:num>
  <w:num w:numId="2">
    <w:abstractNumId w:val="0"/>
    <w:lvlOverride w:ilvl="0">
      <w:lvl w:ilvl="0">
        <w:numFmt w:val="bullet"/>
        <w:lvlText w:val="•"/>
        <w:legacy w:legacy="1" w:legacySpace="0" w:legacyIndent="0"/>
        <w:lvlJc w:val="left"/>
        <w:rPr>
          <w:rFonts w:ascii="Arial" w:hAnsi="Arial" w:cs="Arial" w:hint="default"/>
          <w:sz w:val="22"/>
        </w:rPr>
      </w:lvl>
    </w:lvlOverride>
  </w:num>
  <w:num w:numId="3">
    <w:abstractNumId w:val="0"/>
    <w:lvlOverride w:ilvl="0">
      <w:lvl w:ilvl="0">
        <w:numFmt w:val="bullet"/>
        <w:lvlText w:val="•"/>
        <w:legacy w:legacy="1" w:legacySpace="0" w:legacyIndent="0"/>
        <w:lvlJc w:val="left"/>
        <w:rPr>
          <w:rFonts w:ascii="Arial" w:hAnsi="Arial" w:cs="Arial" w:hint="default"/>
          <w:sz w:val="40"/>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32"/>
        </w:rPr>
      </w:lvl>
    </w:lvlOverride>
  </w:num>
  <w:num w:numId="6">
    <w:abstractNumId w:val="5"/>
  </w:num>
  <w:num w:numId="7">
    <w:abstractNumId w:val="12"/>
  </w:num>
  <w:num w:numId="8">
    <w:abstractNumId w:val="4"/>
  </w:num>
  <w:num w:numId="9">
    <w:abstractNumId w:val="13"/>
  </w:num>
  <w:num w:numId="10">
    <w:abstractNumId w:val="9"/>
  </w:num>
  <w:num w:numId="11">
    <w:abstractNumId w:val="7"/>
  </w:num>
  <w:num w:numId="12">
    <w:abstractNumId w:val="8"/>
  </w:num>
  <w:num w:numId="13">
    <w:abstractNumId w:val="3"/>
  </w:num>
  <w:num w:numId="14">
    <w:abstractNumId w:val="10"/>
  </w:num>
  <w:num w:numId="15">
    <w:abstractNumId w:val="6"/>
  </w:num>
  <w:num w:numId="16">
    <w:abstractNumId w:val="2"/>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0B"/>
    <w:rsid w:val="0000394A"/>
    <w:rsid w:val="00003971"/>
    <w:rsid w:val="00007C5C"/>
    <w:rsid w:val="000114BC"/>
    <w:rsid w:val="000121B5"/>
    <w:rsid w:val="0001230A"/>
    <w:rsid w:val="0001470B"/>
    <w:rsid w:val="00017788"/>
    <w:rsid w:val="00022972"/>
    <w:rsid w:val="0002306C"/>
    <w:rsid w:val="000243B7"/>
    <w:rsid w:val="0002462F"/>
    <w:rsid w:val="000246A6"/>
    <w:rsid w:val="00026DB8"/>
    <w:rsid w:val="000270E5"/>
    <w:rsid w:val="00034592"/>
    <w:rsid w:val="00035399"/>
    <w:rsid w:val="000376F7"/>
    <w:rsid w:val="00050238"/>
    <w:rsid w:val="00050A78"/>
    <w:rsid w:val="00054056"/>
    <w:rsid w:val="0005418C"/>
    <w:rsid w:val="000565C6"/>
    <w:rsid w:val="000649FD"/>
    <w:rsid w:val="000661A5"/>
    <w:rsid w:val="00067095"/>
    <w:rsid w:val="0007170A"/>
    <w:rsid w:val="00074919"/>
    <w:rsid w:val="00085E8A"/>
    <w:rsid w:val="00091859"/>
    <w:rsid w:val="00095E6B"/>
    <w:rsid w:val="0009660B"/>
    <w:rsid w:val="00096F9F"/>
    <w:rsid w:val="000972C2"/>
    <w:rsid w:val="000A3BE1"/>
    <w:rsid w:val="000A5C87"/>
    <w:rsid w:val="000B14CF"/>
    <w:rsid w:val="000B33D6"/>
    <w:rsid w:val="000B4231"/>
    <w:rsid w:val="000B6DA0"/>
    <w:rsid w:val="000B7D21"/>
    <w:rsid w:val="000C0C2C"/>
    <w:rsid w:val="000C48B4"/>
    <w:rsid w:val="000C6738"/>
    <w:rsid w:val="000D050C"/>
    <w:rsid w:val="000D2889"/>
    <w:rsid w:val="000D39F9"/>
    <w:rsid w:val="000D4D0B"/>
    <w:rsid w:val="000D7CF0"/>
    <w:rsid w:val="000E0533"/>
    <w:rsid w:val="000E05D1"/>
    <w:rsid w:val="000E0657"/>
    <w:rsid w:val="000E08C9"/>
    <w:rsid w:val="000E1F50"/>
    <w:rsid w:val="000F0770"/>
    <w:rsid w:val="000F08CA"/>
    <w:rsid w:val="000F323A"/>
    <w:rsid w:val="000F3E9C"/>
    <w:rsid w:val="000F7464"/>
    <w:rsid w:val="00102899"/>
    <w:rsid w:val="00114872"/>
    <w:rsid w:val="00115B36"/>
    <w:rsid w:val="00115EB1"/>
    <w:rsid w:val="0012084E"/>
    <w:rsid w:val="001209CE"/>
    <w:rsid w:val="00121191"/>
    <w:rsid w:val="00125104"/>
    <w:rsid w:val="001312AC"/>
    <w:rsid w:val="00133499"/>
    <w:rsid w:val="00134FE7"/>
    <w:rsid w:val="00135A76"/>
    <w:rsid w:val="001408AC"/>
    <w:rsid w:val="00141649"/>
    <w:rsid w:val="001421BD"/>
    <w:rsid w:val="001455EE"/>
    <w:rsid w:val="00146233"/>
    <w:rsid w:val="0014657C"/>
    <w:rsid w:val="001510D5"/>
    <w:rsid w:val="001560C1"/>
    <w:rsid w:val="001573CD"/>
    <w:rsid w:val="00157E8A"/>
    <w:rsid w:val="001610E3"/>
    <w:rsid w:val="0016134C"/>
    <w:rsid w:val="00161F20"/>
    <w:rsid w:val="001622A6"/>
    <w:rsid w:val="0016250C"/>
    <w:rsid w:val="001667B7"/>
    <w:rsid w:val="00175491"/>
    <w:rsid w:val="001763A5"/>
    <w:rsid w:val="00177BB2"/>
    <w:rsid w:val="00180A34"/>
    <w:rsid w:val="001821B4"/>
    <w:rsid w:val="0018593A"/>
    <w:rsid w:val="00191888"/>
    <w:rsid w:val="00192728"/>
    <w:rsid w:val="001968D4"/>
    <w:rsid w:val="00197C3D"/>
    <w:rsid w:val="001B31B4"/>
    <w:rsid w:val="001B5EBC"/>
    <w:rsid w:val="001B65BF"/>
    <w:rsid w:val="001B69E8"/>
    <w:rsid w:val="001C6D99"/>
    <w:rsid w:val="001C6FC4"/>
    <w:rsid w:val="001D01DA"/>
    <w:rsid w:val="001D4AC4"/>
    <w:rsid w:val="001D4C2B"/>
    <w:rsid w:val="001D5FC9"/>
    <w:rsid w:val="001D77DC"/>
    <w:rsid w:val="001E078F"/>
    <w:rsid w:val="001E13EF"/>
    <w:rsid w:val="001E3C9D"/>
    <w:rsid w:val="001E5777"/>
    <w:rsid w:val="001E6398"/>
    <w:rsid w:val="001E6FD2"/>
    <w:rsid w:val="001E7093"/>
    <w:rsid w:val="001F1A6B"/>
    <w:rsid w:val="001F2D48"/>
    <w:rsid w:val="001F308B"/>
    <w:rsid w:val="001F30E6"/>
    <w:rsid w:val="001F3B28"/>
    <w:rsid w:val="001F597B"/>
    <w:rsid w:val="002005B9"/>
    <w:rsid w:val="00200E35"/>
    <w:rsid w:val="0020134B"/>
    <w:rsid w:val="002034A2"/>
    <w:rsid w:val="00204D72"/>
    <w:rsid w:val="002112A8"/>
    <w:rsid w:val="00212E58"/>
    <w:rsid w:val="00213ACE"/>
    <w:rsid w:val="00213D46"/>
    <w:rsid w:val="00217832"/>
    <w:rsid w:val="00217FD0"/>
    <w:rsid w:val="0022189F"/>
    <w:rsid w:val="002225D7"/>
    <w:rsid w:val="00222832"/>
    <w:rsid w:val="00231FAA"/>
    <w:rsid w:val="0023212C"/>
    <w:rsid w:val="00233D66"/>
    <w:rsid w:val="0024105E"/>
    <w:rsid w:val="00242D1D"/>
    <w:rsid w:val="00243A4C"/>
    <w:rsid w:val="00251364"/>
    <w:rsid w:val="0025724C"/>
    <w:rsid w:val="0026527A"/>
    <w:rsid w:val="00274050"/>
    <w:rsid w:val="00281ABB"/>
    <w:rsid w:val="00281C0B"/>
    <w:rsid w:val="00282989"/>
    <w:rsid w:val="00285A4D"/>
    <w:rsid w:val="00287056"/>
    <w:rsid w:val="0029203C"/>
    <w:rsid w:val="00293B12"/>
    <w:rsid w:val="00293FEC"/>
    <w:rsid w:val="002940C3"/>
    <w:rsid w:val="002954FC"/>
    <w:rsid w:val="00296FC5"/>
    <w:rsid w:val="002A2E56"/>
    <w:rsid w:val="002A4ED0"/>
    <w:rsid w:val="002A7171"/>
    <w:rsid w:val="002B2BD3"/>
    <w:rsid w:val="002B319A"/>
    <w:rsid w:val="002B6915"/>
    <w:rsid w:val="002B7D4A"/>
    <w:rsid w:val="002C3C3A"/>
    <w:rsid w:val="002C40E9"/>
    <w:rsid w:val="002C6B84"/>
    <w:rsid w:val="002C6DEF"/>
    <w:rsid w:val="002D12CD"/>
    <w:rsid w:val="002D2C5D"/>
    <w:rsid w:val="002D381C"/>
    <w:rsid w:val="002D5432"/>
    <w:rsid w:val="002D57CE"/>
    <w:rsid w:val="002E3874"/>
    <w:rsid w:val="002E391D"/>
    <w:rsid w:val="002E3F89"/>
    <w:rsid w:val="002E4984"/>
    <w:rsid w:val="002E5FCB"/>
    <w:rsid w:val="002E6111"/>
    <w:rsid w:val="002E69A3"/>
    <w:rsid w:val="002E6F6B"/>
    <w:rsid w:val="002F02F1"/>
    <w:rsid w:val="002F65D4"/>
    <w:rsid w:val="002F67DE"/>
    <w:rsid w:val="003102F1"/>
    <w:rsid w:val="00321961"/>
    <w:rsid w:val="00322186"/>
    <w:rsid w:val="00325785"/>
    <w:rsid w:val="00332355"/>
    <w:rsid w:val="003338EB"/>
    <w:rsid w:val="00337657"/>
    <w:rsid w:val="00341891"/>
    <w:rsid w:val="003418EA"/>
    <w:rsid w:val="00342A2D"/>
    <w:rsid w:val="00342EA2"/>
    <w:rsid w:val="003467A1"/>
    <w:rsid w:val="0035259E"/>
    <w:rsid w:val="00353E72"/>
    <w:rsid w:val="0035495A"/>
    <w:rsid w:val="00354C24"/>
    <w:rsid w:val="00354D0F"/>
    <w:rsid w:val="003558B4"/>
    <w:rsid w:val="00355E09"/>
    <w:rsid w:val="003570B4"/>
    <w:rsid w:val="00357156"/>
    <w:rsid w:val="003644CF"/>
    <w:rsid w:val="00364F88"/>
    <w:rsid w:val="00367788"/>
    <w:rsid w:val="00371534"/>
    <w:rsid w:val="003723A0"/>
    <w:rsid w:val="003724D8"/>
    <w:rsid w:val="003755CC"/>
    <w:rsid w:val="00376D46"/>
    <w:rsid w:val="00377232"/>
    <w:rsid w:val="003778E6"/>
    <w:rsid w:val="00380877"/>
    <w:rsid w:val="00381308"/>
    <w:rsid w:val="003838BF"/>
    <w:rsid w:val="003850C2"/>
    <w:rsid w:val="00387F9E"/>
    <w:rsid w:val="00393A4E"/>
    <w:rsid w:val="00393B1B"/>
    <w:rsid w:val="003952B9"/>
    <w:rsid w:val="0039614D"/>
    <w:rsid w:val="003970CC"/>
    <w:rsid w:val="00397827"/>
    <w:rsid w:val="003A1712"/>
    <w:rsid w:val="003A5301"/>
    <w:rsid w:val="003A6CFC"/>
    <w:rsid w:val="003B0392"/>
    <w:rsid w:val="003B18E8"/>
    <w:rsid w:val="003B407C"/>
    <w:rsid w:val="003B6444"/>
    <w:rsid w:val="003C054D"/>
    <w:rsid w:val="003C2DCC"/>
    <w:rsid w:val="003C4A75"/>
    <w:rsid w:val="003C680C"/>
    <w:rsid w:val="003C6F69"/>
    <w:rsid w:val="003D02D7"/>
    <w:rsid w:val="003D2CA3"/>
    <w:rsid w:val="003D45C9"/>
    <w:rsid w:val="003D4C47"/>
    <w:rsid w:val="003D5AD3"/>
    <w:rsid w:val="003D7FA2"/>
    <w:rsid w:val="003E0712"/>
    <w:rsid w:val="003E192D"/>
    <w:rsid w:val="003E1956"/>
    <w:rsid w:val="003E470A"/>
    <w:rsid w:val="003E65BA"/>
    <w:rsid w:val="003E7DBF"/>
    <w:rsid w:val="003F0F86"/>
    <w:rsid w:val="003F2766"/>
    <w:rsid w:val="003F3ABC"/>
    <w:rsid w:val="003F4BEC"/>
    <w:rsid w:val="003F53D6"/>
    <w:rsid w:val="003F73B8"/>
    <w:rsid w:val="00401A0B"/>
    <w:rsid w:val="00402494"/>
    <w:rsid w:val="004117D5"/>
    <w:rsid w:val="00412CD9"/>
    <w:rsid w:val="00420922"/>
    <w:rsid w:val="004210FA"/>
    <w:rsid w:val="00422E1F"/>
    <w:rsid w:val="004261CD"/>
    <w:rsid w:val="00426B6B"/>
    <w:rsid w:val="00440E9A"/>
    <w:rsid w:val="004427C2"/>
    <w:rsid w:val="0044340E"/>
    <w:rsid w:val="00445138"/>
    <w:rsid w:val="00452940"/>
    <w:rsid w:val="0045302A"/>
    <w:rsid w:val="004535DC"/>
    <w:rsid w:val="004537C7"/>
    <w:rsid w:val="00461749"/>
    <w:rsid w:val="00463932"/>
    <w:rsid w:val="0047224C"/>
    <w:rsid w:val="00474635"/>
    <w:rsid w:val="00477422"/>
    <w:rsid w:val="004823D2"/>
    <w:rsid w:val="004850C1"/>
    <w:rsid w:val="00496B10"/>
    <w:rsid w:val="004A5984"/>
    <w:rsid w:val="004B2CBD"/>
    <w:rsid w:val="004B33EA"/>
    <w:rsid w:val="004B3D86"/>
    <w:rsid w:val="004B4128"/>
    <w:rsid w:val="004C6AF4"/>
    <w:rsid w:val="004C7073"/>
    <w:rsid w:val="004C782F"/>
    <w:rsid w:val="004C7AC9"/>
    <w:rsid w:val="004D0491"/>
    <w:rsid w:val="004D18FD"/>
    <w:rsid w:val="004D1E1C"/>
    <w:rsid w:val="004D33C2"/>
    <w:rsid w:val="004D3F21"/>
    <w:rsid w:val="004D71AE"/>
    <w:rsid w:val="004E01B8"/>
    <w:rsid w:val="004E1FD7"/>
    <w:rsid w:val="004E216D"/>
    <w:rsid w:val="004E3B99"/>
    <w:rsid w:val="004E4251"/>
    <w:rsid w:val="004F11FE"/>
    <w:rsid w:val="004F4A75"/>
    <w:rsid w:val="00506B64"/>
    <w:rsid w:val="00513AC3"/>
    <w:rsid w:val="00514FD8"/>
    <w:rsid w:val="00524E6A"/>
    <w:rsid w:val="005270AC"/>
    <w:rsid w:val="005309DB"/>
    <w:rsid w:val="0053143C"/>
    <w:rsid w:val="00532407"/>
    <w:rsid w:val="005404E6"/>
    <w:rsid w:val="0054057C"/>
    <w:rsid w:val="00542987"/>
    <w:rsid w:val="00543704"/>
    <w:rsid w:val="0055465C"/>
    <w:rsid w:val="00554C29"/>
    <w:rsid w:val="005561B7"/>
    <w:rsid w:val="00563695"/>
    <w:rsid w:val="00565146"/>
    <w:rsid w:val="00565A04"/>
    <w:rsid w:val="005660B0"/>
    <w:rsid w:val="00570258"/>
    <w:rsid w:val="00571AD5"/>
    <w:rsid w:val="005751E8"/>
    <w:rsid w:val="00580F09"/>
    <w:rsid w:val="00581AC0"/>
    <w:rsid w:val="00584B0F"/>
    <w:rsid w:val="005852B2"/>
    <w:rsid w:val="00587568"/>
    <w:rsid w:val="00594694"/>
    <w:rsid w:val="005A09B7"/>
    <w:rsid w:val="005A1E09"/>
    <w:rsid w:val="005A36B8"/>
    <w:rsid w:val="005A61F8"/>
    <w:rsid w:val="005A76C8"/>
    <w:rsid w:val="005B1565"/>
    <w:rsid w:val="005B61F2"/>
    <w:rsid w:val="005C07E3"/>
    <w:rsid w:val="005C0846"/>
    <w:rsid w:val="005C65F9"/>
    <w:rsid w:val="005D0958"/>
    <w:rsid w:val="005D1111"/>
    <w:rsid w:val="005D39FD"/>
    <w:rsid w:val="005D46A5"/>
    <w:rsid w:val="005E3621"/>
    <w:rsid w:val="005E737C"/>
    <w:rsid w:val="005E792B"/>
    <w:rsid w:val="005E7A01"/>
    <w:rsid w:val="005E7B1C"/>
    <w:rsid w:val="005F3326"/>
    <w:rsid w:val="0060382F"/>
    <w:rsid w:val="00603CB3"/>
    <w:rsid w:val="00606815"/>
    <w:rsid w:val="00607555"/>
    <w:rsid w:val="00610D59"/>
    <w:rsid w:val="00611E3F"/>
    <w:rsid w:val="00616102"/>
    <w:rsid w:val="00617C80"/>
    <w:rsid w:val="006200BC"/>
    <w:rsid w:val="00622200"/>
    <w:rsid w:val="00626EAA"/>
    <w:rsid w:val="00630006"/>
    <w:rsid w:val="00632E3D"/>
    <w:rsid w:val="00633422"/>
    <w:rsid w:val="006408BB"/>
    <w:rsid w:val="00641F1B"/>
    <w:rsid w:val="006421C7"/>
    <w:rsid w:val="00642C2F"/>
    <w:rsid w:val="006433D6"/>
    <w:rsid w:val="00643454"/>
    <w:rsid w:val="00654035"/>
    <w:rsid w:val="0065454B"/>
    <w:rsid w:val="006564DD"/>
    <w:rsid w:val="00661673"/>
    <w:rsid w:val="00677F18"/>
    <w:rsid w:val="0068163D"/>
    <w:rsid w:val="0068256D"/>
    <w:rsid w:val="00682BAC"/>
    <w:rsid w:val="00683628"/>
    <w:rsid w:val="00684522"/>
    <w:rsid w:val="00687521"/>
    <w:rsid w:val="00695756"/>
    <w:rsid w:val="00696E5C"/>
    <w:rsid w:val="006A24BD"/>
    <w:rsid w:val="006A2EB1"/>
    <w:rsid w:val="006A32A5"/>
    <w:rsid w:val="006A4C40"/>
    <w:rsid w:val="006A7840"/>
    <w:rsid w:val="006B1DAB"/>
    <w:rsid w:val="006B34B0"/>
    <w:rsid w:val="006C09BA"/>
    <w:rsid w:val="006C2CB2"/>
    <w:rsid w:val="006C2DF9"/>
    <w:rsid w:val="006C3DA3"/>
    <w:rsid w:val="006C72C8"/>
    <w:rsid w:val="006D15F7"/>
    <w:rsid w:val="006D18D1"/>
    <w:rsid w:val="006D2010"/>
    <w:rsid w:val="006D2A03"/>
    <w:rsid w:val="006D6546"/>
    <w:rsid w:val="006D6AB7"/>
    <w:rsid w:val="006E246F"/>
    <w:rsid w:val="006E372A"/>
    <w:rsid w:val="006E505C"/>
    <w:rsid w:val="006F0BF4"/>
    <w:rsid w:val="007011DA"/>
    <w:rsid w:val="00701770"/>
    <w:rsid w:val="00701D18"/>
    <w:rsid w:val="00702AD0"/>
    <w:rsid w:val="00705E7C"/>
    <w:rsid w:val="00707A60"/>
    <w:rsid w:val="00711E17"/>
    <w:rsid w:val="00715DAC"/>
    <w:rsid w:val="00722B6B"/>
    <w:rsid w:val="00724BBE"/>
    <w:rsid w:val="00725477"/>
    <w:rsid w:val="0073082E"/>
    <w:rsid w:val="00730DCF"/>
    <w:rsid w:val="0073576D"/>
    <w:rsid w:val="00735C47"/>
    <w:rsid w:val="0073780E"/>
    <w:rsid w:val="007403E8"/>
    <w:rsid w:val="00743BAB"/>
    <w:rsid w:val="00743F9E"/>
    <w:rsid w:val="007452CB"/>
    <w:rsid w:val="007504F6"/>
    <w:rsid w:val="00752EBF"/>
    <w:rsid w:val="00753670"/>
    <w:rsid w:val="00753CA0"/>
    <w:rsid w:val="00753EB1"/>
    <w:rsid w:val="00764605"/>
    <w:rsid w:val="00765391"/>
    <w:rsid w:val="00765AB0"/>
    <w:rsid w:val="00765D1B"/>
    <w:rsid w:val="007732D2"/>
    <w:rsid w:val="00774A21"/>
    <w:rsid w:val="00775EE7"/>
    <w:rsid w:val="007801EF"/>
    <w:rsid w:val="00780E8E"/>
    <w:rsid w:val="007824D1"/>
    <w:rsid w:val="00783E41"/>
    <w:rsid w:val="0078420B"/>
    <w:rsid w:val="00785834"/>
    <w:rsid w:val="00785872"/>
    <w:rsid w:val="00786D7B"/>
    <w:rsid w:val="0079264A"/>
    <w:rsid w:val="0079477C"/>
    <w:rsid w:val="0079524C"/>
    <w:rsid w:val="0079660B"/>
    <w:rsid w:val="00797923"/>
    <w:rsid w:val="007A21A7"/>
    <w:rsid w:val="007A2B0F"/>
    <w:rsid w:val="007A3409"/>
    <w:rsid w:val="007A48B9"/>
    <w:rsid w:val="007A5463"/>
    <w:rsid w:val="007A74C6"/>
    <w:rsid w:val="007A75CA"/>
    <w:rsid w:val="007B1FC7"/>
    <w:rsid w:val="007B2EA6"/>
    <w:rsid w:val="007B33AC"/>
    <w:rsid w:val="007B39AF"/>
    <w:rsid w:val="007B4EA6"/>
    <w:rsid w:val="007B5E4F"/>
    <w:rsid w:val="007B6C8D"/>
    <w:rsid w:val="007B7010"/>
    <w:rsid w:val="007B773F"/>
    <w:rsid w:val="007D0861"/>
    <w:rsid w:val="007D14E6"/>
    <w:rsid w:val="007D15DF"/>
    <w:rsid w:val="007D192B"/>
    <w:rsid w:val="007D3F2E"/>
    <w:rsid w:val="007D7B9F"/>
    <w:rsid w:val="007E18ED"/>
    <w:rsid w:val="007E1D76"/>
    <w:rsid w:val="007E1D7D"/>
    <w:rsid w:val="007E308C"/>
    <w:rsid w:val="007E5B5E"/>
    <w:rsid w:val="007E653A"/>
    <w:rsid w:val="007E7FD8"/>
    <w:rsid w:val="007F00CE"/>
    <w:rsid w:val="007F1354"/>
    <w:rsid w:val="007F15F2"/>
    <w:rsid w:val="007F2C20"/>
    <w:rsid w:val="007F4E9A"/>
    <w:rsid w:val="00801B02"/>
    <w:rsid w:val="00803B54"/>
    <w:rsid w:val="008046AB"/>
    <w:rsid w:val="00804E75"/>
    <w:rsid w:val="008059FF"/>
    <w:rsid w:val="00805EAB"/>
    <w:rsid w:val="008143E4"/>
    <w:rsid w:val="0081629E"/>
    <w:rsid w:val="00821DA5"/>
    <w:rsid w:val="00825143"/>
    <w:rsid w:val="00826FFD"/>
    <w:rsid w:val="00831899"/>
    <w:rsid w:val="008339D7"/>
    <w:rsid w:val="0083538A"/>
    <w:rsid w:val="00835A54"/>
    <w:rsid w:val="008376D6"/>
    <w:rsid w:val="00844BD2"/>
    <w:rsid w:val="00844F57"/>
    <w:rsid w:val="00847166"/>
    <w:rsid w:val="00850E42"/>
    <w:rsid w:val="00851B6C"/>
    <w:rsid w:val="0085382E"/>
    <w:rsid w:val="00855B2D"/>
    <w:rsid w:val="00862132"/>
    <w:rsid w:val="00862277"/>
    <w:rsid w:val="00862D22"/>
    <w:rsid w:val="0086521F"/>
    <w:rsid w:val="008658A0"/>
    <w:rsid w:val="0086687E"/>
    <w:rsid w:val="008702F8"/>
    <w:rsid w:val="00871448"/>
    <w:rsid w:val="008722B4"/>
    <w:rsid w:val="008774AA"/>
    <w:rsid w:val="00877B65"/>
    <w:rsid w:val="00881E5B"/>
    <w:rsid w:val="008826F4"/>
    <w:rsid w:val="008866D7"/>
    <w:rsid w:val="0089532D"/>
    <w:rsid w:val="008A2BEC"/>
    <w:rsid w:val="008A4D29"/>
    <w:rsid w:val="008A72AA"/>
    <w:rsid w:val="008B012E"/>
    <w:rsid w:val="008B40AD"/>
    <w:rsid w:val="008C743F"/>
    <w:rsid w:val="008E0A9B"/>
    <w:rsid w:val="008E3F79"/>
    <w:rsid w:val="008E6850"/>
    <w:rsid w:val="008E72BD"/>
    <w:rsid w:val="008F1103"/>
    <w:rsid w:val="008F1651"/>
    <w:rsid w:val="008F2F89"/>
    <w:rsid w:val="00904B1F"/>
    <w:rsid w:val="00904B58"/>
    <w:rsid w:val="0091175B"/>
    <w:rsid w:val="009123AA"/>
    <w:rsid w:val="00913A0F"/>
    <w:rsid w:val="00917BB7"/>
    <w:rsid w:val="00917D51"/>
    <w:rsid w:val="00917E9A"/>
    <w:rsid w:val="00920A8C"/>
    <w:rsid w:val="00921B57"/>
    <w:rsid w:val="0092334F"/>
    <w:rsid w:val="00924F5F"/>
    <w:rsid w:val="0092547F"/>
    <w:rsid w:val="00931420"/>
    <w:rsid w:val="009336BF"/>
    <w:rsid w:val="00933E35"/>
    <w:rsid w:val="00933F75"/>
    <w:rsid w:val="00934419"/>
    <w:rsid w:val="009351CF"/>
    <w:rsid w:val="00936FE5"/>
    <w:rsid w:val="00937166"/>
    <w:rsid w:val="00940AA5"/>
    <w:rsid w:val="00940EB5"/>
    <w:rsid w:val="00942ABF"/>
    <w:rsid w:val="00944300"/>
    <w:rsid w:val="00950C3C"/>
    <w:rsid w:val="009655DE"/>
    <w:rsid w:val="00965A57"/>
    <w:rsid w:val="009667AC"/>
    <w:rsid w:val="00967A93"/>
    <w:rsid w:val="00971C98"/>
    <w:rsid w:val="00972470"/>
    <w:rsid w:val="009739D3"/>
    <w:rsid w:val="009772B6"/>
    <w:rsid w:val="00980244"/>
    <w:rsid w:val="0098357C"/>
    <w:rsid w:val="00983E3C"/>
    <w:rsid w:val="009840CC"/>
    <w:rsid w:val="0098714A"/>
    <w:rsid w:val="0099165D"/>
    <w:rsid w:val="00991CE6"/>
    <w:rsid w:val="00992AF4"/>
    <w:rsid w:val="009942A8"/>
    <w:rsid w:val="009943D3"/>
    <w:rsid w:val="009A0BD0"/>
    <w:rsid w:val="009A1BB2"/>
    <w:rsid w:val="009A55BC"/>
    <w:rsid w:val="009A747A"/>
    <w:rsid w:val="009B27CD"/>
    <w:rsid w:val="009B5E28"/>
    <w:rsid w:val="009C1AA1"/>
    <w:rsid w:val="009C6376"/>
    <w:rsid w:val="009C7A59"/>
    <w:rsid w:val="009C7ACD"/>
    <w:rsid w:val="009D1B89"/>
    <w:rsid w:val="009D2B9A"/>
    <w:rsid w:val="009D59C4"/>
    <w:rsid w:val="009D7ECA"/>
    <w:rsid w:val="009E0A17"/>
    <w:rsid w:val="009E2E49"/>
    <w:rsid w:val="00A0134E"/>
    <w:rsid w:val="00A017A3"/>
    <w:rsid w:val="00A11517"/>
    <w:rsid w:val="00A13276"/>
    <w:rsid w:val="00A156CF"/>
    <w:rsid w:val="00A16C1A"/>
    <w:rsid w:val="00A1711C"/>
    <w:rsid w:val="00A234EE"/>
    <w:rsid w:val="00A2398E"/>
    <w:rsid w:val="00A33C9A"/>
    <w:rsid w:val="00A376FD"/>
    <w:rsid w:val="00A37A88"/>
    <w:rsid w:val="00A40163"/>
    <w:rsid w:val="00A40664"/>
    <w:rsid w:val="00A40A7F"/>
    <w:rsid w:val="00A4168B"/>
    <w:rsid w:val="00A4211C"/>
    <w:rsid w:val="00A43909"/>
    <w:rsid w:val="00A45720"/>
    <w:rsid w:val="00A50B39"/>
    <w:rsid w:val="00A513FD"/>
    <w:rsid w:val="00A56A31"/>
    <w:rsid w:val="00A572B2"/>
    <w:rsid w:val="00A6077E"/>
    <w:rsid w:val="00A60DE7"/>
    <w:rsid w:val="00A62278"/>
    <w:rsid w:val="00A7047D"/>
    <w:rsid w:val="00A70A72"/>
    <w:rsid w:val="00A76011"/>
    <w:rsid w:val="00A76235"/>
    <w:rsid w:val="00A853C7"/>
    <w:rsid w:val="00A9104A"/>
    <w:rsid w:val="00A9544F"/>
    <w:rsid w:val="00A965E1"/>
    <w:rsid w:val="00AA0E7F"/>
    <w:rsid w:val="00AA0FB7"/>
    <w:rsid w:val="00AA4BBA"/>
    <w:rsid w:val="00AB0ED5"/>
    <w:rsid w:val="00AB2BAB"/>
    <w:rsid w:val="00AB32B2"/>
    <w:rsid w:val="00AB54A0"/>
    <w:rsid w:val="00AC137A"/>
    <w:rsid w:val="00AC2F4D"/>
    <w:rsid w:val="00AC5AD0"/>
    <w:rsid w:val="00AC7CF8"/>
    <w:rsid w:val="00AD3C61"/>
    <w:rsid w:val="00AD3D14"/>
    <w:rsid w:val="00AD6020"/>
    <w:rsid w:val="00AD6684"/>
    <w:rsid w:val="00AE54F4"/>
    <w:rsid w:val="00AF1AC6"/>
    <w:rsid w:val="00AF1F6D"/>
    <w:rsid w:val="00AF7FD8"/>
    <w:rsid w:val="00B000F8"/>
    <w:rsid w:val="00B00CC2"/>
    <w:rsid w:val="00B050C9"/>
    <w:rsid w:val="00B107D6"/>
    <w:rsid w:val="00B10FDA"/>
    <w:rsid w:val="00B1226F"/>
    <w:rsid w:val="00B128AF"/>
    <w:rsid w:val="00B231D5"/>
    <w:rsid w:val="00B24EF8"/>
    <w:rsid w:val="00B253A6"/>
    <w:rsid w:val="00B268F1"/>
    <w:rsid w:val="00B26910"/>
    <w:rsid w:val="00B274BD"/>
    <w:rsid w:val="00B3596D"/>
    <w:rsid w:val="00B37B8A"/>
    <w:rsid w:val="00B43B75"/>
    <w:rsid w:val="00B45157"/>
    <w:rsid w:val="00B45904"/>
    <w:rsid w:val="00B4619D"/>
    <w:rsid w:val="00B50178"/>
    <w:rsid w:val="00B52F07"/>
    <w:rsid w:val="00B533C9"/>
    <w:rsid w:val="00B54B29"/>
    <w:rsid w:val="00B5697E"/>
    <w:rsid w:val="00B67C8A"/>
    <w:rsid w:val="00B70C03"/>
    <w:rsid w:val="00B719B0"/>
    <w:rsid w:val="00B74668"/>
    <w:rsid w:val="00B74911"/>
    <w:rsid w:val="00B762CA"/>
    <w:rsid w:val="00B8057F"/>
    <w:rsid w:val="00B81805"/>
    <w:rsid w:val="00B86820"/>
    <w:rsid w:val="00B86E92"/>
    <w:rsid w:val="00B91F24"/>
    <w:rsid w:val="00B95CC3"/>
    <w:rsid w:val="00BA51FF"/>
    <w:rsid w:val="00BB1838"/>
    <w:rsid w:val="00BB7322"/>
    <w:rsid w:val="00BC39EB"/>
    <w:rsid w:val="00BC5FAB"/>
    <w:rsid w:val="00BD2382"/>
    <w:rsid w:val="00BD4BBB"/>
    <w:rsid w:val="00BE0445"/>
    <w:rsid w:val="00BE3AE3"/>
    <w:rsid w:val="00BE6278"/>
    <w:rsid w:val="00BF00A5"/>
    <w:rsid w:val="00BF253D"/>
    <w:rsid w:val="00BF28F0"/>
    <w:rsid w:val="00BF403B"/>
    <w:rsid w:val="00BF5430"/>
    <w:rsid w:val="00BF79B3"/>
    <w:rsid w:val="00C03C89"/>
    <w:rsid w:val="00C06E70"/>
    <w:rsid w:val="00C07586"/>
    <w:rsid w:val="00C1281E"/>
    <w:rsid w:val="00C16EB6"/>
    <w:rsid w:val="00C17A26"/>
    <w:rsid w:val="00C20313"/>
    <w:rsid w:val="00C2048C"/>
    <w:rsid w:val="00C20831"/>
    <w:rsid w:val="00C23C89"/>
    <w:rsid w:val="00C31913"/>
    <w:rsid w:val="00C321E7"/>
    <w:rsid w:val="00C44C9E"/>
    <w:rsid w:val="00C4574D"/>
    <w:rsid w:val="00C473AC"/>
    <w:rsid w:val="00C50EB1"/>
    <w:rsid w:val="00C518D5"/>
    <w:rsid w:val="00C524DE"/>
    <w:rsid w:val="00C5302D"/>
    <w:rsid w:val="00C54185"/>
    <w:rsid w:val="00C61264"/>
    <w:rsid w:val="00C624CC"/>
    <w:rsid w:val="00C63F85"/>
    <w:rsid w:val="00C650B2"/>
    <w:rsid w:val="00C66831"/>
    <w:rsid w:val="00C6711C"/>
    <w:rsid w:val="00C7337A"/>
    <w:rsid w:val="00C77E95"/>
    <w:rsid w:val="00C86315"/>
    <w:rsid w:val="00C91B29"/>
    <w:rsid w:val="00C95E6F"/>
    <w:rsid w:val="00C9606D"/>
    <w:rsid w:val="00C970D6"/>
    <w:rsid w:val="00CA4CCA"/>
    <w:rsid w:val="00CB1C7A"/>
    <w:rsid w:val="00CB4991"/>
    <w:rsid w:val="00CC05C3"/>
    <w:rsid w:val="00CC0F1D"/>
    <w:rsid w:val="00CC2CF1"/>
    <w:rsid w:val="00CC471A"/>
    <w:rsid w:val="00CC6E75"/>
    <w:rsid w:val="00CD097C"/>
    <w:rsid w:val="00CD3CBD"/>
    <w:rsid w:val="00CD6ECC"/>
    <w:rsid w:val="00CE4716"/>
    <w:rsid w:val="00CE4E2D"/>
    <w:rsid w:val="00CE6F66"/>
    <w:rsid w:val="00CF3034"/>
    <w:rsid w:val="00D0008A"/>
    <w:rsid w:val="00D00DBB"/>
    <w:rsid w:val="00D01A03"/>
    <w:rsid w:val="00D01BD7"/>
    <w:rsid w:val="00D048D0"/>
    <w:rsid w:val="00D13E44"/>
    <w:rsid w:val="00D1456D"/>
    <w:rsid w:val="00D16EB2"/>
    <w:rsid w:val="00D17BBA"/>
    <w:rsid w:val="00D24A7F"/>
    <w:rsid w:val="00D26194"/>
    <w:rsid w:val="00D3249C"/>
    <w:rsid w:val="00D32A48"/>
    <w:rsid w:val="00D343C1"/>
    <w:rsid w:val="00D347C4"/>
    <w:rsid w:val="00D34C04"/>
    <w:rsid w:val="00D43F0E"/>
    <w:rsid w:val="00D44404"/>
    <w:rsid w:val="00D445FF"/>
    <w:rsid w:val="00D5028E"/>
    <w:rsid w:val="00D51ABE"/>
    <w:rsid w:val="00D51DAA"/>
    <w:rsid w:val="00D5445C"/>
    <w:rsid w:val="00D54693"/>
    <w:rsid w:val="00D546BB"/>
    <w:rsid w:val="00D54DD2"/>
    <w:rsid w:val="00D5574C"/>
    <w:rsid w:val="00D565D2"/>
    <w:rsid w:val="00D573C6"/>
    <w:rsid w:val="00D60CF8"/>
    <w:rsid w:val="00D60D34"/>
    <w:rsid w:val="00D60D9E"/>
    <w:rsid w:val="00D62123"/>
    <w:rsid w:val="00D628BB"/>
    <w:rsid w:val="00D65A52"/>
    <w:rsid w:val="00D65B93"/>
    <w:rsid w:val="00D6621B"/>
    <w:rsid w:val="00D6674A"/>
    <w:rsid w:val="00D70341"/>
    <w:rsid w:val="00D75F87"/>
    <w:rsid w:val="00D76CFD"/>
    <w:rsid w:val="00D776A0"/>
    <w:rsid w:val="00D814F4"/>
    <w:rsid w:val="00D836CD"/>
    <w:rsid w:val="00D90097"/>
    <w:rsid w:val="00D92EC9"/>
    <w:rsid w:val="00D95FE1"/>
    <w:rsid w:val="00DA106F"/>
    <w:rsid w:val="00DA6BCA"/>
    <w:rsid w:val="00DA7877"/>
    <w:rsid w:val="00DB1679"/>
    <w:rsid w:val="00DB452D"/>
    <w:rsid w:val="00DB6103"/>
    <w:rsid w:val="00DC0793"/>
    <w:rsid w:val="00DC3D9E"/>
    <w:rsid w:val="00DC4603"/>
    <w:rsid w:val="00DD341B"/>
    <w:rsid w:val="00DD3DA2"/>
    <w:rsid w:val="00DD4C0F"/>
    <w:rsid w:val="00DD7930"/>
    <w:rsid w:val="00DE1190"/>
    <w:rsid w:val="00DE2484"/>
    <w:rsid w:val="00DE3DEE"/>
    <w:rsid w:val="00DE69C8"/>
    <w:rsid w:val="00DF1F72"/>
    <w:rsid w:val="00DF3DB5"/>
    <w:rsid w:val="00DF79E7"/>
    <w:rsid w:val="00E02438"/>
    <w:rsid w:val="00E02688"/>
    <w:rsid w:val="00E037AC"/>
    <w:rsid w:val="00E03A27"/>
    <w:rsid w:val="00E04160"/>
    <w:rsid w:val="00E04FEB"/>
    <w:rsid w:val="00E057A6"/>
    <w:rsid w:val="00E05A82"/>
    <w:rsid w:val="00E11722"/>
    <w:rsid w:val="00E11B34"/>
    <w:rsid w:val="00E126D6"/>
    <w:rsid w:val="00E1382C"/>
    <w:rsid w:val="00E153D8"/>
    <w:rsid w:val="00E20180"/>
    <w:rsid w:val="00E2155D"/>
    <w:rsid w:val="00E219D0"/>
    <w:rsid w:val="00E2266C"/>
    <w:rsid w:val="00E33A91"/>
    <w:rsid w:val="00E34A14"/>
    <w:rsid w:val="00E37F85"/>
    <w:rsid w:val="00E4174D"/>
    <w:rsid w:val="00E422A7"/>
    <w:rsid w:val="00E50216"/>
    <w:rsid w:val="00E506FD"/>
    <w:rsid w:val="00E5152C"/>
    <w:rsid w:val="00E53A8E"/>
    <w:rsid w:val="00E5442C"/>
    <w:rsid w:val="00E5462C"/>
    <w:rsid w:val="00E56253"/>
    <w:rsid w:val="00E566C5"/>
    <w:rsid w:val="00E60D55"/>
    <w:rsid w:val="00E61C4C"/>
    <w:rsid w:val="00E6693A"/>
    <w:rsid w:val="00E66B41"/>
    <w:rsid w:val="00E74E59"/>
    <w:rsid w:val="00E76D97"/>
    <w:rsid w:val="00E812BB"/>
    <w:rsid w:val="00E83017"/>
    <w:rsid w:val="00E831C3"/>
    <w:rsid w:val="00E87842"/>
    <w:rsid w:val="00E92E2B"/>
    <w:rsid w:val="00E92FE7"/>
    <w:rsid w:val="00E932CE"/>
    <w:rsid w:val="00E9404B"/>
    <w:rsid w:val="00EA1287"/>
    <w:rsid w:val="00EA29CE"/>
    <w:rsid w:val="00EA3E54"/>
    <w:rsid w:val="00EB016E"/>
    <w:rsid w:val="00EB1F04"/>
    <w:rsid w:val="00EB23C3"/>
    <w:rsid w:val="00EB4A49"/>
    <w:rsid w:val="00EB5476"/>
    <w:rsid w:val="00EB69FD"/>
    <w:rsid w:val="00EC0FBC"/>
    <w:rsid w:val="00EC37A7"/>
    <w:rsid w:val="00EC44EB"/>
    <w:rsid w:val="00EC4F53"/>
    <w:rsid w:val="00EC5151"/>
    <w:rsid w:val="00EC6687"/>
    <w:rsid w:val="00EC6FAA"/>
    <w:rsid w:val="00EC73D4"/>
    <w:rsid w:val="00EC7D08"/>
    <w:rsid w:val="00ED05A4"/>
    <w:rsid w:val="00ED12F6"/>
    <w:rsid w:val="00ED1E55"/>
    <w:rsid w:val="00ED5AF1"/>
    <w:rsid w:val="00ED61AA"/>
    <w:rsid w:val="00EE4D7E"/>
    <w:rsid w:val="00EE4DAF"/>
    <w:rsid w:val="00EE5AE8"/>
    <w:rsid w:val="00EE5CCF"/>
    <w:rsid w:val="00EE754D"/>
    <w:rsid w:val="00EF08AA"/>
    <w:rsid w:val="00EF2A3C"/>
    <w:rsid w:val="00EF41F3"/>
    <w:rsid w:val="00EF7C0B"/>
    <w:rsid w:val="00F039F1"/>
    <w:rsid w:val="00F058A9"/>
    <w:rsid w:val="00F05C8F"/>
    <w:rsid w:val="00F07A39"/>
    <w:rsid w:val="00F10DC8"/>
    <w:rsid w:val="00F12479"/>
    <w:rsid w:val="00F125BF"/>
    <w:rsid w:val="00F12EBF"/>
    <w:rsid w:val="00F13819"/>
    <w:rsid w:val="00F158FB"/>
    <w:rsid w:val="00F16CD1"/>
    <w:rsid w:val="00F21B22"/>
    <w:rsid w:val="00F24D68"/>
    <w:rsid w:val="00F250A0"/>
    <w:rsid w:val="00F25E13"/>
    <w:rsid w:val="00F33535"/>
    <w:rsid w:val="00F36B57"/>
    <w:rsid w:val="00F40DF3"/>
    <w:rsid w:val="00F412A4"/>
    <w:rsid w:val="00F431C0"/>
    <w:rsid w:val="00F45C02"/>
    <w:rsid w:val="00F45E99"/>
    <w:rsid w:val="00F507BE"/>
    <w:rsid w:val="00F51F03"/>
    <w:rsid w:val="00F543D0"/>
    <w:rsid w:val="00F655D9"/>
    <w:rsid w:val="00F66C3C"/>
    <w:rsid w:val="00F66DB3"/>
    <w:rsid w:val="00F67498"/>
    <w:rsid w:val="00F7046E"/>
    <w:rsid w:val="00F71952"/>
    <w:rsid w:val="00F73F88"/>
    <w:rsid w:val="00F74539"/>
    <w:rsid w:val="00F74866"/>
    <w:rsid w:val="00F760F5"/>
    <w:rsid w:val="00F77FB2"/>
    <w:rsid w:val="00F80F66"/>
    <w:rsid w:val="00F81C71"/>
    <w:rsid w:val="00F823AA"/>
    <w:rsid w:val="00F82ED4"/>
    <w:rsid w:val="00F841AB"/>
    <w:rsid w:val="00F94BCD"/>
    <w:rsid w:val="00F95E16"/>
    <w:rsid w:val="00F962FC"/>
    <w:rsid w:val="00F974AC"/>
    <w:rsid w:val="00F979B0"/>
    <w:rsid w:val="00FA13B9"/>
    <w:rsid w:val="00FA1B67"/>
    <w:rsid w:val="00FA2A87"/>
    <w:rsid w:val="00FA4CEE"/>
    <w:rsid w:val="00FA709D"/>
    <w:rsid w:val="00FB1B49"/>
    <w:rsid w:val="00FB4E4F"/>
    <w:rsid w:val="00FB6776"/>
    <w:rsid w:val="00FB7524"/>
    <w:rsid w:val="00FC15C4"/>
    <w:rsid w:val="00FC2B7B"/>
    <w:rsid w:val="00FC4972"/>
    <w:rsid w:val="00FC6367"/>
    <w:rsid w:val="00FC68BB"/>
    <w:rsid w:val="00FD5D96"/>
    <w:rsid w:val="00FD6120"/>
    <w:rsid w:val="00FD6922"/>
    <w:rsid w:val="00FE0359"/>
    <w:rsid w:val="00FE3540"/>
    <w:rsid w:val="00FE370D"/>
    <w:rsid w:val="00FE4323"/>
    <w:rsid w:val="00FE48AA"/>
    <w:rsid w:val="00FE4C81"/>
    <w:rsid w:val="00FE516F"/>
    <w:rsid w:val="00FE616C"/>
    <w:rsid w:val="00FE64E6"/>
    <w:rsid w:val="00FE7DDE"/>
    <w:rsid w:val="00FF01B7"/>
    <w:rsid w:val="00FF0E99"/>
    <w:rsid w:val="00FF2699"/>
    <w:rsid w:val="00FF2B43"/>
    <w:rsid w:val="00FF38B6"/>
    <w:rsid w:val="00FF3B17"/>
    <w:rsid w:val="00FF41A3"/>
    <w:rsid w:val="00FF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22186"/>
    <w:pPr>
      <w:spacing w:after="0" w:line="240" w:lineRule="auto"/>
    </w:pPr>
    <w:rPr>
      <w:sz w:val="20"/>
      <w:szCs w:val="20"/>
    </w:rPr>
  </w:style>
  <w:style w:type="character" w:customStyle="1" w:styleId="FootnoteTextChar">
    <w:name w:val="Footnote Text Char"/>
    <w:basedOn w:val="DefaultParagraphFont"/>
    <w:link w:val="FootnoteText"/>
    <w:uiPriority w:val="99"/>
    <w:rsid w:val="00322186"/>
    <w:rPr>
      <w:sz w:val="20"/>
      <w:szCs w:val="20"/>
    </w:rPr>
  </w:style>
  <w:style w:type="character" w:styleId="FootnoteReference">
    <w:name w:val="footnote reference"/>
    <w:basedOn w:val="DefaultParagraphFont"/>
    <w:uiPriority w:val="99"/>
    <w:semiHidden/>
    <w:unhideWhenUsed/>
    <w:rsid w:val="00322186"/>
    <w:rPr>
      <w:vertAlign w:val="superscript"/>
    </w:rPr>
  </w:style>
  <w:style w:type="paragraph" w:styleId="NoSpacing">
    <w:name w:val="No Spacing"/>
    <w:uiPriority w:val="1"/>
    <w:qFormat/>
    <w:rsid w:val="003B407C"/>
    <w:pPr>
      <w:spacing w:after="0" w:line="240" w:lineRule="auto"/>
    </w:pPr>
  </w:style>
  <w:style w:type="character" w:styleId="Hyperlink">
    <w:name w:val="Hyperlink"/>
    <w:basedOn w:val="DefaultParagraphFont"/>
    <w:uiPriority w:val="99"/>
    <w:unhideWhenUsed/>
    <w:rsid w:val="007D14E6"/>
    <w:rPr>
      <w:color w:val="0000FF" w:themeColor="hyperlink"/>
      <w:u w:val="single"/>
    </w:rPr>
  </w:style>
  <w:style w:type="paragraph" w:styleId="ListParagraph">
    <w:name w:val="List Paragraph"/>
    <w:basedOn w:val="Normal"/>
    <w:uiPriority w:val="34"/>
    <w:qFormat/>
    <w:rsid w:val="003E1956"/>
    <w:pPr>
      <w:ind w:left="720"/>
      <w:contextualSpacing/>
    </w:pPr>
  </w:style>
  <w:style w:type="paragraph" w:styleId="NormalWeb">
    <w:name w:val="Normal (Web)"/>
    <w:basedOn w:val="Normal"/>
    <w:uiPriority w:val="99"/>
    <w:unhideWhenUsed/>
    <w:rsid w:val="000B4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FootnoteReference">
    <w:name w:val="Footnote Footnote Reference"/>
    <w:rsid w:val="00342EA2"/>
    <w:rPr>
      <w:rFonts w:ascii="Times New Roman" w:hAnsi="Times New Roman" w:cs="Times New Roman"/>
      <w:sz w:val="18"/>
      <w:szCs w:val="18"/>
      <w:vertAlign w:val="baseline"/>
    </w:rPr>
  </w:style>
  <w:style w:type="paragraph" w:styleId="EndnoteText">
    <w:name w:val="endnote text"/>
    <w:basedOn w:val="Normal"/>
    <w:link w:val="EndnoteTextChar"/>
    <w:uiPriority w:val="99"/>
    <w:semiHidden/>
    <w:unhideWhenUsed/>
    <w:rsid w:val="007A74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74C6"/>
    <w:rPr>
      <w:sz w:val="20"/>
      <w:szCs w:val="20"/>
    </w:rPr>
  </w:style>
  <w:style w:type="character" w:styleId="EndnoteReference">
    <w:name w:val="endnote reference"/>
    <w:basedOn w:val="DefaultParagraphFont"/>
    <w:uiPriority w:val="99"/>
    <w:semiHidden/>
    <w:unhideWhenUsed/>
    <w:rsid w:val="007A74C6"/>
    <w:rPr>
      <w:vertAlign w:val="superscript"/>
    </w:rPr>
  </w:style>
  <w:style w:type="paragraph" w:styleId="Header">
    <w:name w:val="header"/>
    <w:basedOn w:val="Normal"/>
    <w:link w:val="HeaderChar"/>
    <w:uiPriority w:val="99"/>
    <w:unhideWhenUsed/>
    <w:rsid w:val="002C3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3A"/>
  </w:style>
  <w:style w:type="paragraph" w:styleId="Footer">
    <w:name w:val="footer"/>
    <w:basedOn w:val="Normal"/>
    <w:link w:val="FooterChar"/>
    <w:uiPriority w:val="99"/>
    <w:unhideWhenUsed/>
    <w:rsid w:val="002C3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22186"/>
    <w:pPr>
      <w:spacing w:after="0" w:line="240" w:lineRule="auto"/>
    </w:pPr>
    <w:rPr>
      <w:sz w:val="20"/>
      <w:szCs w:val="20"/>
    </w:rPr>
  </w:style>
  <w:style w:type="character" w:customStyle="1" w:styleId="FootnoteTextChar">
    <w:name w:val="Footnote Text Char"/>
    <w:basedOn w:val="DefaultParagraphFont"/>
    <w:link w:val="FootnoteText"/>
    <w:uiPriority w:val="99"/>
    <w:rsid w:val="00322186"/>
    <w:rPr>
      <w:sz w:val="20"/>
      <w:szCs w:val="20"/>
    </w:rPr>
  </w:style>
  <w:style w:type="character" w:styleId="FootnoteReference">
    <w:name w:val="footnote reference"/>
    <w:basedOn w:val="DefaultParagraphFont"/>
    <w:uiPriority w:val="99"/>
    <w:semiHidden/>
    <w:unhideWhenUsed/>
    <w:rsid w:val="00322186"/>
    <w:rPr>
      <w:vertAlign w:val="superscript"/>
    </w:rPr>
  </w:style>
  <w:style w:type="paragraph" w:styleId="NoSpacing">
    <w:name w:val="No Spacing"/>
    <w:uiPriority w:val="1"/>
    <w:qFormat/>
    <w:rsid w:val="003B407C"/>
    <w:pPr>
      <w:spacing w:after="0" w:line="240" w:lineRule="auto"/>
    </w:pPr>
  </w:style>
  <w:style w:type="character" w:styleId="Hyperlink">
    <w:name w:val="Hyperlink"/>
    <w:basedOn w:val="DefaultParagraphFont"/>
    <w:uiPriority w:val="99"/>
    <w:unhideWhenUsed/>
    <w:rsid w:val="007D14E6"/>
    <w:rPr>
      <w:color w:val="0000FF" w:themeColor="hyperlink"/>
      <w:u w:val="single"/>
    </w:rPr>
  </w:style>
  <w:style w:type="paragraph" w:styleId="ListParagraph">
    <w:name w:val="List Paragraph"/>
    <w:basedOn w:val="Normal"/>
    <w:uiPriority w:val="34"/>
    <w:qFormat/>
    <w:rsid w:val="003E1956"/>
    <w:pPr>
      <w:ind w:left="720"/>
      <w:contextualSpacing/>
    </w:pPr>
  </w:style>
  <w:style w:type="paragraph" w:styleId="NormalWeb">
    <w:name w:val="Normal (Web)"/>
    <w:basedOn w:val="Normal"/>
    <w:uiPriority w:val="99"/>
    <w:unhideWhenUsed/>
    <w:rsid w:val="000B4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FootnoteReference">
    <w:name w:val="Footnote Footnote Reference"/>
    <w:rsid w:val="00342EA2"/>
    <w:rPr>
      <w:rFonts w:ascii="Times New Roman" w:hAnsi="Times New Roman" w:cs="Times New Roman"/>
      <w:sz w:val="18"/>
      <w:szCs w:val="18"/>
      <w:vertAlign w:val="baseline"/>
    </w:rPr>
  </w:style>
  <w:style w:type="paragraph" w:styleId="EndnoteText">
    <w:name w:val="endnote text"/>
    <w:basedOn w:val="Normal"/>
    <w:link w:val="EndnoteTextChar"/>
    <w:uiPriority w:val="99"/>
    <w:semiHidden/>
    <w:unhideWhenUsed/>
    <w:rsid w:val="007A74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74C6"/>
    <w:rPr>
      <w:sz w:val="20"/>
      <w:szCs w:val="20"/>
    </w:rPr>
  </w:style>
  <w:style w:type="character" w:styleId="EndnoteReference">
    <w:name w:val="endnote reference"/>
    <w:basedOn w:val="DefaultParagraphFont"/>
    <w:uiPriority w:val="99"/>
    <w:semiHidden/>
    <w:unhideWhenUsed/>
    <w:rsid w:val="007A74C6"/>
    <w:rPr>
      <w:vertAlign w:val="superscript"/>
    </w:rPr>
  </w:style>
  <w:style w:type="paragraph" w:styleId="Header">
    <w:name w:val="header"/>
    <w:basedOn w:val="Normal"/>
    <w:link w:val="HeaderChar"/>
    <w:uiPriority w:val="99"/>
    <w:unhideWhenUsed/>
    <w:rsid w:val="002C3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3A"/>
  </w:style>
  <w:style w:type="paragraph" w:styleId="Footer">
    <w:name w:val="footer"/>
    <w:basedOn w:val="Normal"/>
    <w:link w:val="FooterChar"/>
    <w:uiPriority w:val="99"/>
    <w:unhideWhenUsed/>
    <w:rsid w:val="002C3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43020">
      <w:bodyDiv w:val="1"/>
      <w:marLeft w:val="0"/>
      <w:marRight w:val="0"/>
      <w:marTop w:val="0"/>
      <w:marBottom w:val="0"/>
      <w:divBdr>
        <w:top w:val="none" w:sz="0" w:space="0" w:color="auto"/>
        <w:left w:val="none" w:sz="0" w:space="0" w:color="auto"/>
        <w:bottom w:val="none" w:sz="0" w:space="0" w:color="auto"/>
        <w:right w:val="none" w:sz="0" w:space="0" w:color="auto"/>
      </w:divBdr>
    </w:div>
    <w:div w:id="7035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hirsch@law.capital.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xport.gov/safeharbor/eu/eg_main_018476.asp" TargetMode="External"/><Relationship Id="rId13" Type="http://schemas.openxmlformats.org/officeDocument/2006/relationships/hyperlink" Target="http://www.ntia.doc.gov/category/privacy" TargetMode="External"/><Relationship Id="rId3" Type="http://schemas.openxmlformats.org/officeDocument/2006/relationships/hyperlink" Target="http://www.icx.org.uk/about.htm" TargetMode="External"/><Relationship Id="rId7" Type="http://schemas.openxmlformats.org/officeDocument/2006/relationships/hyperlink" Target="http://www.apec.org/Groups/Committee-on-Trade-and-Investment/~/media/Files/Groups/ECSG/05_ecsg_privacyframewk.ashx" TargetMode="External"/><Relationship Id="rId12" Type="http://schemas.openxmlformats.org/officeDocument/2006/relationships/hyperlink" Target="http://www.networkadvertising.org/" TargetMode="External"/><Relationship Id="rId2" Type="http://schemas.openxmlformats.org/officeDocument/2006/relationships/hyperlink" Target="http://worldlii.org/int/journals/PLBIN/2000/3.html" TargetMode="External"/><Relationship Id="rId1" Type="http://schemas.openxmlformats.org/officeDocument/2006/relationships/hyperlink" Target="http://oecdprivacy.org/" TargetMode="External"/><Relationship Id="rId6" Type="http://schemas.openxmlformats.org/officeDocument/2006/relationships/hyperlink" Target="http://www.apec.org/About-Us/About-APEC/Fact-Sheets/APEC-Privacy-Framework.aspx" TargetMode="External"/><Relationship Id="rId11" Type="http://schemas.openxmlformats.org/officeDocument/2006/relationships/hyperlink" Target="http://ec.europa.eu/justice/data-protection/document/international-transfers/binding-corporate-rules/bcr_cooperation/index_en.htm" TargetMode="External"/><Relationship Id="rId5" Type="http://schemas.openxmlformats.org/officeDocument/2006/relationships/hyperlink" Target="http://www.apec.org/About-Us/About-APEC/Member-Economies.aspx" TargetMode="External"/><Relationship Id="rId10" Type="http://schemas.openxmlformats.org/officeDocument/2006/relationships/hyperlink" Target="http://www.truste.com/privacy-program-requirements/program_requirements_EUSH_privacy" TargetMode="External"/><Relationship Id="rId4" Type="http://schemas.openxmlformats.org/officeDocument/2006/relationships/hyperlink" Target="http://www.apec.org/About-Us/About-APEC/History.aspx" TargetMode="External"/><Relationship Id="rId9" Type="http://schemas.openxmlformats.org/officeDocument/2006/relationships/hyperlink" Target="http://export.gov/safeharbor/eu/eg_main_01847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DFF2E-ECBA-420B-81C8-E5620907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10925</Words>
  <Characters>62602</Characters>
  <Application>Microsoft Office Word</Application>
  <DocSecurity>0</DocSecurity>
  <Lines>1098</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Joseph Jerome</cp:lastModifiedBy>
  <cp:revision>2</cp:revision>
  <dcterms:created xsi:type="dcterms:W3CDTF">2013-07-29T20:51:00Z</dcterms:created>
  <dcterms:modified xsi:type="dcterms:W3CDTF">2013-07-29T20:51:00Z</dcterms:modified>
</cp:coreProperties>
</file>