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0B" w:rsidRDefault="009862DC" w:rsidP="00F826EF">
      <w:pPr>
        <w:pStyle w:val="Heading1"/>
        <w:rPr>
          <w:noProof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6101080</wp:posOffset>
            </wp:positionH>
            <wp:positionV relativeFrom="page">
              <wp:posOffset>266700</wp:posOffset>
            </wp:positionV>
            <wp:extent cx="1471930" cy="831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0B" w:rsidRDefault="00B54C0B" w:rsidP="00F826EF">
      <w:pPr>
        <w:pStyle w:val="Heading1"/>
        <w:rPr>
          <w:noProof/>
          <w:sz w:val="20"/>
          <w:szCs w:val="20"/>
          <w:lang w:val="en-US"/>
        </w:rPr>
      </w:pPr>
    </w:p>
    <w:p w:rsidR="006E7FE4" w:rsidRPr="00992D5D" w:rsidRDefault="006E7FE4" w:rsidP="00F826EF">
      <w:pPr>
        <w:pStyle w:val="Heading1"/>
        <w:rPr>
          <w:sz w:val="20"/>
          <w:szCs w:val="20"/>
        </w:rPr>
      </w:pPr>
      <w:r w:rsidRPr="00992D5D">
        <w:rPr>
          <w:sz w:val="20"/>
          <w:szCs w:val="20"/>
        </w:rPr>
        <w:t xml:space="preserve">                                                                    </w:t>
      </w:r>
      <w:r w:rsidR="00F826EF" w:rsidRPr="00992D5D">
        <w:rPr>
          <w:sz w:val="20"/>
          <w:szCs w:val="20"/>
        </w:rPr>
        <w:tab/>
      </w:r>
      <w:r w:rsidR="00F826EF" w:rsidRPr="00992D5D">
        <w:rPr>
          <w:sz w:val="20"/>
          <w:szCs w:val="20"/>
        </w:rPr>
        <w:tab/>
      </w:r>
      <w:r w:rsidR="00F826EF" w:rsidRPr="00992D5D">
        <w:rPr>
          <w:sz w:val="20"/>
          <w:szCs w:val="20"/>
        </w:rPr>
        <w:tab/>
      </w:r>
    </w:p>
    <w:p w:rsidR="00F826EF" w:rsidRPr="00992D5D" w:rsidRDefault="00F826EF" w:rsidP="006E7FE4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7706"/>
      </w:tblGrid>
      <w:tr w:rsidR="006E7FE4" w:rsidRPr="00992D5D" w:rsidTr="00F826EF">
        <w:tc>
          <w:tcPr>
            <w:tcW w:w="2160" w:type="dxa"/>
          </w:tcPr>
          <w:p w:rsidR="006E7FE4" w:rsidRPr="00992D5D" w:rsidRDefault="006E7FE4" w:rsidP="00EF12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D5D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7740" w:type="dxa"/>
          </w:tcPr>
          <w:p w:rsidR="006E7FE4" w:rsidRPr="00992D5D" w:rsidRDefault="00F802C6" w:rsidP="00711C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 of</w:t>
            </w:r>
            <w:r w:rsidR="00B54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Protection </w:t>
            </w:r>
            <w:r w:rsidR="00B54C0B">
              <w:rPr>
                <w:rFonts w:ascii="Arial" w:hAnsi="Arial" w:cs="Arial"/>
                <w:b/>
                <w:bCs/>
                <w:sz w:val="20"/>
                <w:szCs w:val="20"/>
              </w:rPr>
              <w:t>and Privacy</w:t>
            </w:r>
            <w:bookmarkEnd w:id="0"/>
          </w:p>
        </w:tc>
      </w:tr>
      <w:tr w:rsidR="006E7FE4" w:rsidRPr="00992D5D" w:rsidTr="00F826EF">
        <w:trPr>
          <w:trHeight w:val="300"/>
        </w:trPr>
        <w:tc>
          <w:tcPr>
            <w:tcW w:w="2160" w:type="dxa"/>
            <w:vAlign w:val="center"/>
          </w:tcPr>
          <w:p w:rsidR="006E7FE4" w:rsidRPr="00992D5D" w:rsidRDefault="006E7FE4" w:rsidP="00EF12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D5D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7740" w:type="dxa"/>
            <w:vAlign w:val="center"/>
          </w:tcPr>
          <w:p w:rsidR="006E7FE4" w:rsidRPr="00992D5D" w:rsidRDefault="00365CD8" w:rsidP="00EF12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D5D">
              <w:rPr>
                <w:rFonts w:ascii="Arial" w:hAnsi="Arial" w:cs="Arial"/>
                <w:b/>
                <w:bCs/>
                <w:sz w:val="20"/>
                <w:szCs w:val="20"/>
              </w:rPr>
              <w:t>Paddington</w:t>
            </w:r>
            <w:r w:rsidR="0016040D" w:rsidRPr="00992D5D">
              <w:rPr>
                <w:rFonts w:ascii="Arial" w:hAnsi="Arial" w:cs="Arial"/>
                <w:b/>
                <w:bCs/>
                <w:sz w:val="20"/>
                <w:szCs w:val="20"/>
              </w:rPr>
              <w:t>, London</w:t>
            </w:r>
          </w:p>
        </w:tc>
      </w:tr>
    </w:tbl>
    <w:p w:rsidR="00F70FA4" w:rsidRPr="00992D5D" w:rsidRDefault="00F70FA4">
      <w:pPr>
        <w:pStyle w:val="Heading2"/>
        <w:rPr>
          <w:b w:val="0"/>
          <w:bCs w:val="0"/>
          <w:szCs w:val="20"/>
        </w:rPr>
      </w:pPr>
    </w:p>
    <w:p w:rsidR="00EB7EB7" w:rsidRPr="00992D5D" w:rsidRDefault="00EB7EB7" w:rsidP="00EB7EB7">
      <w:pPr>
        <w:jc w:val="both"/>
        <w:rPr>
          <w:rFonts w:ascii="Arial" w:hAnsi="Arial" w:cs="Arial"/>
          <w:sz w:val="20"/>
          <w:szCs w:val="20"/>
        </w:rPr>
      </w:pPr>
    </w:p>
    <w:p w:rsidR="00B7005B" w:rsidRDefault="00B7005B" w:rsidP="000722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role sits within a fun, supportive and hard-working Commercial and Corporate Legal Team, </w:t>
      </w:r>
      <w:r w:rsidR="008F3BE3">
        <w:rPr>
          <w:rFonts w:ascii="Arial" w:hAnsi="Arial" w:cs="Arial"/>
          <w:sz w:val="20"/>
          <w:szCs w:val="20"/>
        </w:rPr>
        <w:t>who manage</w:t>
      </w:r>
      <w:r>
        <w:rPr>
          <w:rFonts w:ascii="Arial" w:hAnsi="Arial" w:cs="Arial"/>
          <w:sz w:val="20"/>
          <w:szCs w:val="20"/>
        </w:rPr>
        <w:t xml:space="preserve"> commercial, corporate, employment, data protection and intellectua</w:t>
      </w:r>
      <w:r w:rsidR="0033553F">
        <w:rPr>
          <w:rFonts w:ascii="Arial" w:hAnsi="Arial" w:cs="Arial"/>
          <w:sz w:val="20"/>
          <w:szCs w:val="20"/>
        </w:rPr>
        <w:t>l property legal matters. This t</w:t>
      </w:r>
      <w:r>
        <w:rPr>
          <w:rFonts w:ascii="Arial" w:hAnsi="Arial" w:cs="Arial"/>
          <w:sz w:val="20"/>
          <w:szCs w:val="20"/>
        </w:rPr>
        <w:t xml:space="preserve">eam is part of a larger Legal and Regulatory Division </w:t>
      </w:r>
      <w:r w:rsidR="00F14A2B">
        <w:rPr>
          <w:rFonts w:ascii="Arial" w:hAnsi="Arial" w:cs="Arial"/>
          <w:sz w:val="20"/>
          <w:szCs w:val="20"/>
        </w:rPr>
        <w:t xml:space="preserve">in Visa’s Europe region </w:t>
      </w:r>
      <w:r>
        <w:rPr>
          <w:rFonts w:ascii="Arial" w:hAnsi="Arial" w:cs="Arial"/>
          <w:sz w:val="20"/>
          <w:szCs w:val="20"/>
        </w:rPr>
        <w:t xml:space="preserve">(including, competition, UK regulatory, EU regulatory specialists), which has consistently had some of the highest engagement scores and prides itself on a creative, </w:t>
      </w:r>
      <w:r w:rsidR="00F14A2B">
        <w:rPr>
          <w:rFonts w:ascii="Arial" w:hAnsi="Arial" w:cs="Arial"/>
          <w:sz w:val="20"/>
          <w:szCs w:val="20"/>
        </w:rPr>
        <w:t xml:space="preserve">collaborative, </w:t>
      </w:r>
      <w:r>
        <w:rPr>
          <w:rFonts w:ascii="Arial" w:hAnsi="Arial" w:cs="Arial"/>
          <w:sz w:val="20"/>
          <w:szCs w:val="20"/>
        </w:rPr>
        <w:t xml:space="preserve">can-do approach.    </w:t>
      </w:r>
    </w:p>
    <w:p w:rsidR="00B7005B" w:rsidRDefault="00B7005B" w:rsidP="000722F1">
      <w:pPr>
        <w:jc w:val="both"/>
        <w:rPr>
          <w:rFonts w:ascii="Arial" w:hAnsi="Arial" w:cs="Arial"/>
          <w:sz w:val="20"/>
          <w:szCs w:val="20"/>
        </w:rPr>
      </w:pPr>
    </w:p>
    <w:p w:rsidR="00B7005B" w:rsidRDefault="00B7005B" w:rsidP="000722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Commercial and Corporate Legal Team works at the cutting edge of new payment technologies, innovation and the fintech industry in an increasingly regulated environment.</w:t>
      </w:r>
    </w:p>
    <w:p w:rsidR="00AC6D81" w:rsidRDefault="00AC6D81" w:rsidP="000722F1">
      <w:pPr>
        <w:jc w:val="both"/>
        <w:rPr>
          <w:rFonts w:ascii="Arial" w:hAnsi="Arial" w:cs="Arial"/>
          <w:sz w:val="20"/>
          <w:szCs w:val="20"/>
        </w:rPr>
      </w:pPr>
    </w:p>
    <w:p w:rsidR="00992D5D" w:rsidRDefault="00AC6D81" w:rsidP="000722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position </w:t>
      </w:r>
      <w:r w:rsidR="00B54C0B">
        <w:rPr>
          <w:rFonts w:ascii="Arial" w:hAnsi="Arial" w:cs="Arial"/>
          <w:sz w:val="20"/>
          <w:szCs w:val="20"/>
        </w:rPr>
        <w:t xml:space="preserve">is </w:t>
      </w:r>
      <w:r w:rsidR="0033553F">
        <w:rPr>
          <w:rFonts w:ascii="Arial" w:hAnsi="Arial" w:cs="Arial"/>
          <w:sz w:val="20"/>
          <w:szCs w:val="20"/>
        </w:rPr>
        <w:t xml:space="preserve">the lead role </w:t>
      </w:r>
      <w:r w:rsidR="00B54C0B">
        <w:rPr>
          <w:rFonts w:ascii="Arial" w:hAnsi="Arial" w:cs="Arial"/>
          <w:sz w:val="20"/>
          <w:szCs w:val="20"/>
        </w:rPr>
        <w:t>within</w:t>
      </w:r>
      <w:r>
        <w:rPr>
          <w:rFonts w:ascii="Arial" w:hAnsi="Arial" w:cs="Arial"/>
          <w:sz w:val="20"/>
          <w:szCs w:val="20"/>
        </w:rPr>
        <w:t xml:space="preserve"> Visa’s </w:t>
      </w:r>
      <w:r w:rsidR="0033553F">
        <w:rPr>
          <w:rFonts w:ascii="Arial" w:hAnsi="Arial" w:cs="Arial"/>
          <w:sz w:val="20"/>
          <w:szCs w:val="20"/>
        </w:rPr>
        <w:t xml:space="preserve">European </w:t>
      </w:r>
      <w:r w:rsidR="00B54C0B">
        <w:rPr>
          <w:rFonts w:ascii="Arial" w:hAnsi="Arial" w:cs="Arial"/>
          <w:sz w:val="20"/>
          <w:szCs w:val="20"/>
        </w:rPr>
        <w:t>data and privacy</w:t>
      </w:r>
      <w:r>
        <w:rPr>
          <w:rFonts w:ascii="Arial" w:hAnsi="Arial" w:cs="Arial"/>
          <w:sz w:val="20"/>
          <w:szCs w:val="20"/>
        </w:rPr>
        <w:t xml:space="preserve"> </w:t>
      </w:r>
      <w:r w:rsidR="00B54C0B">
        <w:rPr>
          <w:rFonts w:ascii="Arial" w:hAnsi="Arial" w:cs="Arial"/>
          <w:sz w:val="20"/>
          <w:szCs w:val="20"/>
        </w:rPr>
        <w:t xml:space="preserve">legal </w:t>
      </w:r>
      <w:r>
        <w:rPr>
          <w:rFonts w:ascii="Arial" w:hAnsi="Arial" w:cs="Arial"/>
          <w:sz w:val="20"/>
          <w:szCs w:val="20"/>
        </w:rPr>
        <w:t xml:space="preserve">team, working to </w:t>
      </w:r>
      <w:r w:rsidR="0033553F">
        <w:rPr>
          <w:rFonts w:ascii="Arial" w:hAnsi="Arial" w:cs="Arial"/>
          <w:sz w:val="20"/>
          <w:szCs w:val="20"/>
        </w:rPr>
        <w:t xml:space="preserve">further develop Visa’s strategy, and to </w:t>
      </w:r>
      <w:r w:rsidR="00B54C0B">
        <w:rPr>
          <w:rFonts w:ascii="Arial" w:hAnsi="Arial" w:cs="Arial"/>
          <w:sz w:val="20"/>
          <w:szCs w:val="20"/>
        </w:rPr>
        <w:t xml:space="preserve">advise on and </w:t>
      </w:r>
      <w:r>
        <w:rPr>
          <w:rFonts w:ascii="Arial" w:hAnsi="Arial" w:cs="Arial"/>
          <w:sz w:val="20"/>
          <w:szCs w:val="20"/>
        </w:rPr>
        <w:t xml:space="preserve">resolve legal issues relating to Visa’s </w:t>
      </w:r>
      <w:r w:rsidR="00B54C0B">
        <w:rPr>
          <w:rFonts w:ascii="Arial" w:hAnsi="Arial" w:cs="Arial"/>
          <w:sz w:val="20"/>
          <w:szCs w:val="20"/>
        </w:rPr>
        <w:t>uses of personal data.</w:t>
      </w:r>
    </w:p>
    <w:p w:rsidR="0037527E" w:rsidRPr="00992D5D" w:rsidRDefault="0037527E" w:rsidP="000722F1">
      <w:pPr>
        <w:jc w:val="both"/>
        <w:rPr>
          <w:rFonts w:ascii="Arial" w:hAnsi="Arial" w:cs="Arial"/>
          <w:sz w:val="20"/>
          <w:szCs w:val="20"/>
        </w:rPr>
      </w:pPr>
    </w:p>
    <w:p w:rsidR="003B2C6F" w:rsidRPr="00992D5D" w:rsidRDefault="00B365DC" w:rsidP="000722F1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992D5D">
        <w:rPr>
          <w:rFonts w:ascii="Arial" w:hAnsi="Arial" w:cs="Arial"/>
          <w:b/>
          <w:iCs/>
          <w:sz w:val="20"/>
          <w:szCs w:val="20"/>
        </w:rPr>
        <w:t xml:space="preserve">Key </w:t>
      </w:r>
      <w:r w:rsidR="00ED347D" w:rsidRPr="00992D5D">
        <w:rPr>
          <w:rFonts w:ascii="Arial" w:hAnsi="Arial" w:cs="Arial"/>
          <w:b/>
          <w:iCs/>
          <w:sz w:val="20"/>
          <w:szCs w:val="20"/>
        </w:rPr>
        <w:t>Accountabilities:</w:t>
      </w:r>
    </w:p>
    <w:p w:rsidR="003B2C6F" w:rsidRPr="00992D5D" w:rsidRDefault="003B2C6F" w:rsidP="000722F1">
      <w:pPr>
        <w:jc w:val="both"/>
        <w:rPr>
          <w:rFonts w:ascii="Arial" w:hAnsi="Arial" w:cs="Arial"/>
          <w:b/>
          <w:sz w:val="20"/>
          <w:szCs w:val="20"/>
        </w:rPr>
      </w:pPr>
    </w:p>
    <w:p w:rsidR="0033553F" w:rsidRDefault="0033553F" w:rsidP="00DE4132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 Visa’s European data protection and privacy function, managing a dedicated team of data and privacy lawyers and professionals.</w:t>
      </w:r>
    </w:p>
    <w:p w:rsidR="0033553F" w:rsidRDefault="0033553F" w:rsidP="0033553F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F8791C" w:rsidRPr="00222C1F" w:rsidRDefault="0033553F" w:rsidP="00222C1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 a critical strategic role as part of Visa’s Global Privacy Office, in collaboration with Visa’s Chief Privacy Officer, who is based in Visa’s California headquarters.</w:t>
      </w:r>
    </w:p>
    <w:p w:rsidR="0033553F" w:rsidRDefault="0033553F" w:rsidP="0033553F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366CE9" w:rsidRDefault="00366CE9" w:rsidP="00DE4132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the provision of strategic </w:t>
      </w:r>
      <w:r w:rsidR="00A922B8">
        <w:rPr>
          <w:rFonts w:ascii="Arial" w:hAnsi="Arial" w:cs="Arial"/>
          <w:sz w:val="20"/>
          <w:szCs w:val="20"/>
        </w:rPr>
        <w:t xml:space="preserve">expert </w:t>
      </w:r>
      <w:r>
        <w:rPr>
          <w:rFonts w:ascii="Arial" w:hAnsi="Arial" w:cs="Arial"/>
          <w:sz w:val="20"/>
          <w:szCs w:val="20"/>
        </w:rPr>
        <w:t xml:space="preserve">legal advice on </w:t>
      </w:r>
      <w:r w:rsidR="00DE4132">
        <w:rPr>
          <w:rFonts w:ascii="Arial" w:hAnsi="Arial" w:cs="Arial"/>
          <w:sz w:val="20"/>
          <w:szCs w:val="20"/>
        </w:rPr>
        <w:t xml:space="preserve"> data privacy </w:t>
      </w:r>
      <w:r w:rsidR="00DE4132" w:rsidRPr="00992D5D">
        <w:rPr>
          <w:rFonts w:ascii="Arial" w:hAnsi="Arial" w:cs="Arial"/>
          <w:sz w:val="20"/>
          <w:szCs w:val="20"/>
        </w:rPr>
        <w:t xml:space="preserve">advice </w:t>
      </w:r>
      <w:r>
        <w:rPr>
          <w:rFonts w:ascii="Arial" w:hAnsi="Arial" w:cs="Arial"/>
          <w:sz w:val="20"/>
          <w:szCs w:val="20"/>
        </w:rPr>
        <w:t xml:space="preserve">for Visa in Europe on </w:t>
      </w:r>
    </w:p>
    <w:p w:rsidR="00366CE9" w:rsidRDefault="00366CE9" w:rsidP="00590716">
      <w:pPr>
        <w:pStyle w:val="ListParagraph"/>
        <w:rPr>
          <w:rFonts w:ascii="Arial" w:hAnsi="Arial" w:cs="Arial"/>
        </w:rPr>
      </w:pPr>
    </w:p>
    <w:p w:rsidR="00366CE9" w:rsidRDefault="00366CE9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 of new business lines and novel approaches to commercial data use by the business</w:t>
      </w:r>
    </w:p>
    <w:p w:rsidR="00366CE9" w:rsidRDefault="00366CE9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and regulatory impacts of global movement of data on critical business initiatives</w:t>
      </w:r>
      <w:r w:rsidR="00394B69">
        <w:rPr>
          <w:rFonts w:ascii="Arial" w:hAnsi="Arial" w:cs="Arial"/>
          <w:sz w:val="20"/>
          <w:szCs w:val="20"/>
        </w:rPr>
        <w:t xml:space="preserve"> and key projects such as Brexit</w:t>
      </w:r>
    </w:p>
    <w:p w:rsidR="00DE4132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>client and supplier agreements, business innovation and digital product initiatives (such as mobile payments and data products), product development, licensing arrangements, the development of template contracts,</w:t>
      </w:r>
      <w:r>
        <w:rPr>
          <w:rFonts w:ascii="Arial" w:hAnsi="Arial" w:cs="Arial"/>
          <w:sz w:val="20"/>
          <w:szCs w:val="20"/>
        </w:rPr>
        <w:t xml:space="preserve"> </w:t>
      </w:r>
      <w:r w:rsidRPr="00992D5D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992D5D">
        <w:rPr>
          <w:rFonts w:ascii="Arial" w:hAnsi="Arial" w:cs="Arial"/>
          <w:sz w:val="20"/>
          <w:szCs w:val="20"/>
        </w:rPr>
        <w:t xml:space="preserve">other general commercial matters. </w:t>
      </w:r>
    </w:p>
    <w:p w:rsidR="00DE4132" w:rsidRDefault="00DE4132" w:rsidP="00DE4132">
      <w:pPr>
        <w:ind w:left="317"/>
        <w:jc w:val="both"/>
        <w:rPr>
          <w:rFonts w:ascii="Arial" w:hAnsi="Arial" w:cs="Arial"/>
          <w:sz w:val="20"/>
          <w:szCs w:val="20"/>
        </w:rPr>
      </w:pPr>
    </w:p>
    <w:p w:rsidR="00394B69" w:rsidRPr="00F8791C" w:rsidRDefault="00DE4132" w:rsidP="00DE4132">
      <w:pPr>
        <w:numPr>
          <w:ilvl w:val="0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be</w:t>
      </w:r>
      <w:r w:rsidR="00366CE9">
        <w:rPr>
          <w:rFonts w:ascii="Arial" w:hAnsi="Arial" w:cs="Arial"/>
          <w:sz w:val="20"/>
          <w:szCs w:val="20"/>
        </w:rPr>
        <w:t xml:space="preserve"> Visa in Europe’s most senior</w:t>
      </w:r>
      <w:r>
        <w:rPr>
          <w:rFonts w:ascii="Arial" w:hAnsi="Arial" w:cs="Arial"/>
          <w:sz w:val="20"/>
          <w:szCs w:val="20"/>
        </w:rPr>
        <w:t xml:space="preserve"> subject matter expert (SME) for data protection</w:t>
      </w:r>
      <w:r w:rsidR="000654B5" w:rsidRPr="000654B5">
        <w:rPr>
          <w:rFonts w:ascii="Arial" w:hAnsi="Arial" w:cs="Arial"/>
          <w:sz w:val="20"/>
          <w:szCs w:val="20"/>
        </w:rPr>
        <w:t xml:space="preserve"> </w:t>
      </w:r>
      <w:r w:rsidR="000654B5">
        <w:rPr>
          <w:rFonts w:ascii="Arial" w:hAnsi="Arial" w:cs="Arial"/>
          <w:sz w:val="20"/>
          <w:szCs w:val="20"/>
        </w:rPr>
        <w:t xml:space="preserve">in the context of the GDPR (a global impacting data regulation) and the increasing scrutiny of Visa’s various regulators (both across Europe and beyond) the </w:t>
      </w:r>
      <w:r w:rsidR="00394B69">
        <w:rPr>
          <w:rFonts w:ascii="Arial" w:hAnsi="Arial" w:cs="Arial"/>
          <w:sz w:val="20"/>
          <w:szCs w:val="20"/>
        </w:rPr>
        <w:t>:-</w:t>
      </w:r>
    </w:p>
    <w:p w:rsidR="00394B69" w:rsidRPr="00F8791C" w:rsidRDefault="00394B69" w:rsidP="00590716">
      <w:pPr>
        <w:numPr>
          <w:ilvl w:val="1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influencer to senior leadership within Legal and the business regarding the impact of data privacy regulation in Europe in the post GDPR global environment</w:t>
      </w:r>
    </w:p>
    <w:p w:rsidR="00394B69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 w:rsidRPr="00A4159D">
        <w:rPr>
          <w:rFonts w:ascii="Arial" w:hAnsi="Arial" w:cs="Arial"/>
          <w:iCs/>
          <w:sz w:val="20"/>
          <w:szCs w:val="20"/>
        </w:rPr>
        <w:t xml:space="preserve">keeping up to date with a number of identified areas of law and proactively </w:t>
      </w:r>
      <w:r w:rsidR="00366CE9">
        <w:rPr>
          <w:rFonts w:ascii="Arial" w:hAnsi="Arial" w:cs="Arial"/>
          <w:iCs/>
          <w:sz w:val="20"/>
          <w:szCs w:val="20"/>
        </w:rPr>
        <w:t xml:space="preserve">horizon scanning and issue spotting for business impacts in the area of data privacy, </w:t>
      </w:r>
    </w:p>
    <w:p w:rsidR="00394B69" w:rsidRDefault="00394B69" w:rsidP="00590716">
      <w:pPr>
        <w:numPr>
          <w:ilvl w:val="1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 the lead on dealing with European data issues from early identification of potential issues, through to risk assessment and any reporting required to regulators and the Visa Europe Board;</w:t>
      </w:r>
    </w:p>
    <w:p w:rsidR="00DE4132" w:rsidRDefault="00366CE9" w:rsidP="00590716">
      <w:pPr>
        <w:numPr>
          <w:ilvl w:val="1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anticipating</w:t>
      </w:r>
      <w:r w:rsidRPr="00A4159D">
        <w:rPr>
          <w:rFonts w:ascii="Arial" w:hAnsi="Arial" w:cs="Arial"/>
          <w:iCs/>
          <w:sz w:val="20"/>
          <w:szCs w:val="20"/>
        </w:rPr>
        <w:t xml:space="preserve"> </w:t>
      </w:r>
      <w:r w:rsidR="00DE4132" w:rsidRPr="00A4159D">
        <w:rPr>
          <w:rFonts w:ascii="Arial" w:hAnsi="Arial" w:cs="Arial"/>
          <w:iCs/>
          <w:sz w:val="20"/>
          <w:szCs w:val="20"/>
        </w:rPr>
        <w:t xml:space="preserve">all </w:t>
      </w:r>
      <w:r>
        <w:rPr>
          <w:rFonts w:ascii="Arial" w:hAnsi="Arial" w:cs="Arial"/>
          <w:iCs/>
          <w:sz w:val="20"/>
          <w:szCs w:val="20"/>
        </w:rPr>
        <w:t xml:space="preserve">legal </w:t>
      </w:r>
      <w:r w:rsidR="00DE4132" w:rsidRPr="00A4159D">
        <w:rPr>
          <w:rFonts w:ascii="Arial" w:hAnsi="Arial" w:cs="Arial"/>
          <w:iCs/>
          <w:sz w:val="20"/>
          <w:szCs w:val="20"/>
        </w:rPr>
        <w:t xml:space="preserve">updates, </w:t>
      </w:r>
      <w:r w:rsidR="00DE4132">
        <w:rPr>
          <w:rFonts w:ascii="Arial" w:hAnsi="Arial" w:cs="Arial"/>
          <w:iCs/>
          <w:sz w:val="20"/>
          <w:szCs w:val="20"/>
        </w:rPr>
        <w:t xml:space="preserve">reviewing and revising relevant policies and procedures, </w:t>
      </w:r>
      <w:r w:rsidR="00DE4132" w:rsidRPr="00A4159D">
        <w:rPr>
          <w:rFonts w:ascii="Arial" w:hAnsi="Arial" w:cs="Arial"/>
          <w:iCs/>
          <w:sz w:val="20"/>
          <w:szCs w:val="20"/>
        </w:rPr>
        <w:t>ensuring template material is updated where necessary and informing colleagues of the substantive changes.</w:t>
      </w:r>
    </w:p>
    <w:p w:rsidR="00DE4132" w:rsidRPr="00F32730" w:rsidRDefault="00DE4132" w:rsidP="00DE4132">
      <w:pPr>
        <w:ind w:left="317"/>
        <w:jc w:val="both"/>
        <w:rPr>
          <w:rFonts w:ascii="Arial" w:hAnsi="Arial" w:cs="Arial"/>
          <w:iCs/>
          <w:sz w:val="20"/>
          <w:szCs w:val="20"/>
        </w:rPr>
      </w:pPr>
    </w:p>
    <w:p w:rsidR="00DE4132" w:rsidRDefault="00DE4132" w:rsidP="00DE4132">
      <w:pPr>
        <w:numPr>
          <w:ilvl w:val="0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 w:rsidRPr="00A4159D">
        <w:rPr>
          <w:rFonts w:ascii="Arial" w:hAnsi="Arial" w:cs="Arial"/>
          <w:iCs/>
          <w:sz w:val="20"/>
          <w:szCs w:val="20"/>
        </w:rPr>
        <w:t xml:space="preserve">Responsible for providing high quality </w:t>
      </w:r>
      <w:r w:rsidR="00366CE9">
        <w:rPr>
          <w:rFonts w:ascii="Arial" w:hAnsi="Arial" w:cs="Arial"/>
          <w:iCs/>
          <w:sz w:val="20"/>
          <w:szCs w:val="20"/>
        </w:rPr>
        <w:t xml:space="preserve">strategic a commercially focussed </w:t>
      </w:r>
      <w:r>
        <w:rPr>
          <w:rFonts w:ascii="Arial" w:hAnsi="Arial" w:cs="Arial"/>
          <w:iCs/>
          <w:sz w:val="20"/>
          <w:szCs w:val="20"/>
        </w:rPr>
        <w:t xml:space="preserve">data privacy and </w:t>
      </w:r>
      <w:r w:rsidRPr="00A4159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compliance</w:t>
      </w:r>
      <w:r w:rsidRPr="00A4159D">
        <w:rPr>
          <w:rFonts w:ascii="Arial" w:hAnsi="Arial" w:cs="Arial"/>
          <w:iCs/>
          <w:sz w:val="20"/>
          <w:szCs w:val="20"/>
        </w:rPr>
        <w:t xml:space="preserve"> advice  to colleagues at all levels within the business</w:t>
      </w:r>
      <w:r w:rsidR="00366CE9">
        <w:rPr>
          <w:rFonts w:ascii="Arial" w:hAnsi="Arial" w:cs="Arial"/>
          <w:iCs/>
          <w:sz w:val="20"/>
          <w:szCs w:val="20"/>
        </w:rPr>
        <w:t>, including at senior levels (Executive and Board) :-</w:t>
      </w:r>
      <w:r w:rsidRPr="00A4159D">
        <w:rPr>
          <w:rFonts w:ascii="Arial" w:hAnsi="Arial" w:cs="Arial"/>
          <w:iCs/>
          <w:sz w:val="20"/>
          <w:szCs w:val="20"/>
        </w:rPr>
        <w:t>.</w:t>
      </w:r>
    </w:p>
    <w:p w:rsidR="00DE4132" w:rsidRPr="00992D5D" w:rsidRDefault="00DE4132" w:rsidP="00DE4132">
      <w:pPr>
        <w:jc w:val="both"/>
        <w:rPr>
          <w:rFonts w:ascii="Arial" w:hAnsi="Arial" w:cs="Arial"/>
          <w:sz w:val="20"/>
          <w:szCs w:val="20"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 xml:space="preserve">Draft, review, negotiate and advise on a wide range of contracts relating to the matters above. </w:t>
      </w:r>
    </w:p>
    <w:p w:rsidR="00DE4132" w:rsidRPr="00992D5D" w:rsidRDefault="00DE4132" w:rsidP="00DE4132">
      <w:pPr>
        <w:pStyle w:val="ListParagraph"/>
        <w:jc w:val="both"/>
        <w:rPr>
          <w:rFonts w:ascii="Arial" w:hAnsi="Arial" w:cs="Arial"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 xml:space="preserve">Provide legal </w:t>
      </w:r>
      <w:r w:rsidR="00A922B8">
        <w:rPr>
          <w:rFonts w:ascii="Arial" w:hAnsi="Arial" w:cs="Arial"/>
          <w:sz w:val="20"/>
          <w:szCs w:val="20"/>
        </w:rPr>
        <w:t>advice</w:t>
      </w:r>
      <w:r w:rsidRPr="00992D5D">
        <w:rPr>
          <w:rFonts w:ascii="Arial" w:hAnsi="Arial" w:cs="Arial"/>
          <w:sz w:val="20"/>
          <w:szCs w:val="20"/>
        </w:rPr>
        <w:t xml:space="preserve"> in relation to acquisitions and strategic alliances, including legal due diligence, contract drafting and negotiations. </w:t>
      </w:r>
    </w:p>
    <w:p w:rsidR="00DE4132" w:rsidRPr="00992D5D" w:rsidRDefault="00DE4132" w:rsidP="00DE4132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 xml:space="preserve">Identify </w:t>
      </w:r>
      <w:r>
        <w:rPr>
          <w:rFonts w:ascii="Arial" w:hAnsi="Arial" w:cs="Arial"/>
          <w:sz w:val="20"/>
          <w:szCs w:val="20"/>
        </w:rPr>
        <w:t>data protection</w:t>
      </w:r>
      <w:r w:rsidRPr="00992D5D">
        <w:rPr>
          <w:rFonts w:ascii="Arial" w:hAnsi="Arial" w:cs="Arial"/>
          <w:sz w:val="20"/>
          <w:szCs w:val="20"/>
        </w:rPr>
        <w:t xml:space="preserve"> and other regulatory issues, and liaise when necessary with internal members of the Legal and Regulatory Division, and/or external counsel. </w:t>
      </w:r>
    </w:p>
    <w:p w:rsidR="00DE4132" w:rsidRPr="00992D5D" w:rsidRDefault="00DE4132" w:rsidP="00DE4132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lastRenderedPageBreak/>
        <w:t xml:space="preserve">Identify the need for external legal advice and engage appropriate outside counsel on a range of legal issues across Visa’s European region. Management of outside counsel, including budgets. </w:t>
      </w:r>
    </w:p>
    <w:p w:rsidR="00DE4132" w:rsidRPr="00992D5D" w:rsidRDefault="00DE4132" w:rsidP="00DE4132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 xml:space="preserve">Work with other Visa departments across the globe to ensure contracts </w:t>
      </w:r>
      <w:r>
        <w:rPr>
          <w:rFonts w:ascii="Arial" w:hAnsi="Arial" w:cs="Arial"/>
          <w:iCs/>
          <w:sz w:val="20"/>
          <w:szCs w:val="20"/>
        </w:rPr>
        <w:t xml:space="preserve">and advice </w:t>
      </w:r>
      <w:r w:rsidRPr="00992D5D">
        <w:rPr>
          <w:rFonts w:ascii="Arial" w:hAnsi="Arial" w:cs="Arial"/>
          <w:iCs/>
          <w:sz w:val="20"/>
          <w:szCs w:val="20"/>
        </w:rPr>
        <w:t>accurately reflect</w:t>
      </w:r>
      <w:r>
        <w:rPr>
          <w:rFonts w:ascii="Arial" w:hAnsi="Arial" w:cs="Arial"/>
          <w:iCs/>
          <w:sz w:val="20"/>
          <w:szCs w:val="20"/>
        </w:rPr>
        <w:t>s</w:t>
      </w:r>
      <w:r w:rsidRPr="00992D5D">
        <w:rPr>
          <w:rFonts w:ascii="Arial" w:hAnsi="Arial" w:cs="Arial"/>
          <w:iCs/>
          <w:sz w:val="20"/>
          <w:szCs w:val="20"/>
        </w:rPr>
        <w:t xml:space="preserve"> business needs and policies as they develop.</w:t>
      </w:r>
      <w:r>
        <w:rPr>
          <w:rFonts w:ascii="Arial" w:hAnsi="Arial" w:cs="Arial"/>
          <w:iCs/>
          <w:sz w:val="20"/>
          <w:szCs w:val="20"/>
        </w:rPr>
        <w:t xml:space="preserve">  </w:t>
      </w:r>
    </w:p>
    <w:p w:rsidR="00DE4132" w:rsidRPr="00992D5D" w:rsidRDefault="00DE4132" w:rsidP="00DE4132">
      <w:pPr>
        <w:ind w:left="677"/>
        <w:jc w:val="both"/>
        <w:rPr>
          <w:rFonts w:ascii="Arial" w:hAnsi="Arial" w:cs="Arial"/>
          <w:iCs/>
          <w:sz w:val="20"/>
          <w:szCs w:val="20"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Responsible for management of day-to-day legal queries and business deals, taking the lead on all relevant legal activities.</w:t>
      </w:r>
    </w:p>
    <w:p w:rsidR="00DE4132" w:rsidRPr="00992D5D" w:rsidRDefault="00DE4132" w:rsidP="00DE4132">
      <w:pPr>
        <w:pStyle w:val="ListParagraph"/>
        <w:jc w:val="both"/>
        <w:rPr>
          <w:rFonts w:ascii="Arial" w:hAnsi="Arial" w:cs="Arial"/>
          <w:iCs/>
        </w:rPr>
      </w:pPr>
    </w:p>
    <w:p w:rsidR="00DE4132" w:rsidRPr="00992D5D" w:rsidRDefault="00DE4132" w:rsidP="00590716">
      <w:pPr>
        <w:numPr>
          <w:ilvl w:val="1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Manage, develop and maintain relationships to facilitate the effective delivery of legal advice and assistance.</w:t>
      </w:r>
      <w:r>
        <w:rPr>
          <w:rFonts w:ascii="Arial" w:hAnsi="Arial" w:cs="Arial"/>
          <w:iCs/>
          <w:sz w:val="20"/>
          <w:szCs w:val="20"/>
        </w:rPr>
        <w:t xml:space="preserve">  Responsible for specific business partner relationships.</w:t>
      </w:r>
    </w:p>
    <w:p w:rsidR="00DE4132" w:rsidRPr="00992D5D" w:rsidRDefault="00DE4132" w:rsidP="00DE4132">
      <w:pPr>
        <w:ind w:left="677"/>
        <w:jc w:val="both"/>
        <w:rPr>
          <w:rFonts w:ascii="Arial" w:hAnsi="Arial" w:cs="Arial"/>
          <w:iCs/>
          <w:sz w:val="20"/>
          <w:szCs w:val="20"/>
        </w:rPr>
      </w:pPr>
    </w:p>
    <w:p w:rsidR="00DE4132" w:rsidRPr="00992D5D" w:rsidRDefault="00DE4132" w:rsidP="00DE4132">
      <w:pPr>
        <w:numPr>
          <w:ilvl w:val="0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Provide training</w:t>
      </w:r>
      <w:r>
        <w:rPr>
          <w:rFonts w:ascii="Arial" w:hAnsi="Arial" w:cs="Arial"/>
          <w:iCs/>
          <w:sz w:val="20"/>
          <w:szCs w:val="20"/>
        </w:rPr>
        <w:t>,</w:t>
      </w:r>
      <w:r w:rsidRPr="00992D5D">
        <w:rPr>
          <w:rFonts w:ascii="Arial" w:hAnsi="Arial" w:cs="Arial"/>
          <w:iCs/>
          <w:sz w:val="20"/>
          <w:szCs w:val="20"/>
        </w:rPr>
        <w:t xml:space="preserve"> to identified business areas</w:t>
      </w:r>
      <w:r>
        <w:rPr>
          <w:rFonts w:ascii="Arial" w:hAnsi="Arial" w:cs="Arial"/>
          <w:iCs/>
          <w:sz w:val="20"/>
          <w:szCs w:val="20"/>
        </w:rPr>
        <w:t>,</w:t>
      </w:r>
      <w:r w:rsidRPr="00992D5D">
        <w:rPr>
          <w:rFonts w:ascii="Arial" w:hAnsi="Arial" w:cs="Arial"/>
          <w:iCs/>
          <w:sz w:val="20"/>
          <w:szCs w:val="20"/>
        </w:rPr>
        <w:t xml:space="preserve"> on law, processes and policies.</w:t>
      </w:r>
    </w:p>
    <w:p w:rsidR="00DE4132" w:rsidRPr="00992D5D" w:rsidRDefault="00DE4132" w:rsidP="00DE4132">
      <w:pPr>
        <w:ind w:left="677"/>
        <w:jc w:val="both"/>
        <w:rPr>
          <w:rFonts w:ascii="Arial" w:hAnsi="Arial" w:cs="Arial"/>
          <w:iCs/>
          <w:sz w:val="20"/>
          <w:szCs w:val="20"/>
        </w:rPr>
      </w:pPr>
    </w:p>
    <w:p w:rsidR="00365CD8" w:rsidRPr="00DE4132" w:rsidRDefault="00DE4132" w:rsidP="00DE4132">
      <w:pPr>
        <w:numPr>
          <w:ilvl w:val="0"/>
          <w:numId w:val="18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Proactively contribute to the Legal and Regulatory Division’s planning, cohesion, consistency in advice, and the general efficiency and effectiveness of the division as a whole.</w:t>
      </w:r>
    </w:p>
    <w:p w:rsidR="003B2C6F" w:rsidRPr="00992D5D" w:rsidRDefault="003B2C6F" w:rsidP="0049296D">
      <w:pPr>
        <w:jc w:val="both"/>
        <w:rPr>
          <w:rFonts w:ascii="Arial" w:hAnsi="Arial" w:cs="Arial"/>
          <w:sz w:val="20"/>
          <w:szCs w:val="20"/>
        </w:rPr>
      </w:pPr>
    </w:p>
    <w:p w:rsidR="00C76F47" w:rsidRPr="00992D5D" w:rsidRDefault="00C76F47" w:rsidP="000722F1">
      <w:pPr>
        <w:jc w:val="both"/>
        <w:rPr>
          <w:rFonts w:ascii="Arial" w:hAnsi="Arial" w:cs="Arial"/>
          <w:b/>
          <w:sz w:val="20"/>
          <w:szCs w:val="20"/>
        </w:rPr>
      </w:pPr>
    </w:p>
    <w:p w:rsidR="003B2C6F" w:rsidRPr="00992D5D" w:rsidRDefault="003B2C6F" w:rsidP="000722F1">
      <w:pPr>
        <w:jc w:val="both"/>
        <w:rPr>
          <w:rFonts w:ascii="Arial" w:hAnsi="Arial" w:cs="Arial"/>
          <w:b/>
          <w:sz w:val="20"/>
          <w:szCs w:val="20"/>
        </w:rPr>
      </w:pPr>
      <w:r w:rsidRPr="00992D5D">
        <w:rPr>
          <w:rFonts w:ascii="Arial" w:hAnsi="Arial" w:cs="Arial"/>
          <w:b/>
          <w:sz w:val="20"/>
          <w:szCs w:val="20"/>
        </w:rPr>
        <w:t>Essential Skills:</w:t>
      </w:r>
    </w:p>
    <w:p w:rsidR="00365CD8" w:rsidRPr="00992D5D" w:rsidRDefault="00365CD8" w:rsidP="000722F1">
      <w:pPr>
        <w:jc w:val="both"/>
        <w:rPr>
          <w:rFonts w:ascii="Arial" w:hAnsi="Arial" w:cs="Arial"/>
          <w:b/>
          <w:sz w:val="20"/>
          <w:szCs w:val="20"/>
        </w:rPr>
      </w:pPr>
    </w:p>
    <w:p w:rsidR="00346229" w:rsidRPr="00992D5D" w:rsidRDefault="00346229" w:rsidP="000722F1">
      <w:pPr>
        <w:ind w:left="677"/>
        <w:jc w:val="both"/>
        <w:rPr>
          <w:rFonts w:ascii="Arial" w:hAnsi="Arial" w:cs="Arial"/>
          <w:iCs/>
          <w:sz w:val="20"/>
          <w:szCs w:val="20"/>
        </w:rPr>
      </w:pPr>
    </w:p>
    <w:p w:rsidR="00365CD8" w:rsidRDefault="00365CD8" w:rsidP="000722F1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 xml:space="preserve">Qualified lawyer with previous experience in a </w:t>
      </w:r>
      <w:r w:rsidR="00DC1743" w:rsidRPr="00992D5D">
        <w:rPr>
          <w:rFonts w:ascii="Arial" w:hAnsi="Arial" w:cs="Arial"/>
          <w:iCs/>
          <w:sz w:val="20"/>
          <w:szCs w:val="20"/>
        </w:rPr>
        <w:t xml:space="preserve">commercial </w:t>
      </w:r>
      <w:r w:rsidRPr="00992D5D">
        <w:rPr>
          <w:rFonts w:ascii="Arial" w:hAnsi="Arial" w:cs="Arial"/>
          <w:iCs/>
          <w:sz w:val="20"/>
          <w:szCs w:val="20"/>
        </w:rPr>
        <w:t>legal environment</w:t>
      </w:r>
      <w:r w:rsidR="00662064" w:rsidRPr="00992D5D">
        <w:rPr>
          <w:rFonts w:ascii="Arial" w:hAnsi="Arial" w:cs="Arial"/>
          <w:iCs/>
          <w:sz w:val="20"/>
          <w:szCs w:val="20"/>
        </w:rPr>
        <w:t xml:space="preserve"> (</w:t>
      </w:r>
      <w:r w:rsidR="0080417D" w:rsidRPr="00992D5D">
        <w:rPr>
          <w:rFonts w:ascii="Arial" w:hAnsi="Arial" w:cs="Arial"/>
          <w:iCs/>
          <w:sz w:val="20"/>
          <w:szCs w:val="20"/>
        </w:rPr>
        <w:t xml:space="preserve">ideally </w:t>
      </w:r>
      <w:r w:rsidR="00B517BA">
        <w:rPr>
          <w:rFonts w:ascii="Arial" w:hAnsi="Arial" w:cs="Arial"/>
          <w:iCs/>
          <w:sz w:val="20"/>
          <w:szCs w:val="20"/>
        </w:rPr>
        <w:t>7</w:t>
      </w:r>
      <w:r w:rsidR="0080417D" w:rsidRPr="00992D5D">
        <w:rPr>
          <w:rFonts w:ascii="Arial" w:hAnsi="Arial" w:cs="Arial"/>
          <w:iCs/>
          <w:sz w:val="20"/>
          <w:szCs w:val="20"/>
        </w:rPr>
        <w:t>+</w:t>
      </w:r>
      <w:r w:rsidR="00711C90" w:rsidRPr="00992D5D">
        <w:rPr>
          <w:rFonts w:ascii="Arial" w:hAnsi="Arial" w:cs="Arial"/>
          <w:iCs/>
          <w:sz w:val="20"/>
          <w:szCs w:val="20"/>
        </w:rPr>
        <w:t xml:space="preserve"> years PQE)</w:t>
      </w:r>
      <w:r w:rsidR="009628C7" w:rsidRPr="00992D5D">
        <w:rPr>
          <w:rFonts w:ascii="Arial" w:hAnsi="Arial" w:cs="Arial"/>
          <w:iCs/>
          <w:sz w:val="20"/>
          <w:szCs w:val="20"/>
        </w:rPr>
        <w:t>. We will consider candidates who have qualified in other jurisdictions.</w:t>
      </w:r>
    </w:p>
    <w:p w:rsidR="00A45719" w:rsidRDefault="00A45719" w:rsidP="00A45719">
      <w:pPr>
        <w:ind w:left="677"/>
        <w:jc w:val="both"/>
        <w:rPr>
          <w:rFonts w:ascii="Arial" w:hAnsi="Arial" w:cs="Arial"/>
          <w:iCs/>
          <w:sz w:val="20"/>
          <w:szCs w:val="20"/>
        </w:rPr>
      </w:pPr>
    </w:p>
    <w:p w:rsidR="00662064" w:rsidRPr="00992D5D" w:rsidRDefault="0080417D" w:rsidP="000722F1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 xml:space="preserve">Demonstrable </w:t>
      </w:r>
      <w:r w:rsidR="0049296D">
        <w:rPr>
          <w:rFonts w:ascii="Arial" w:hAnsi="Arial" w:cs="Arial"/>
          <w:iCs/>
          <w:sz w:val="20"/>
          <w:szCs w:val="20"/>
        </w:rPr>
        <w:t xml:space="preserve">relevant </w:t>
      </w:r>
      <w:r w:rsidR="00662064" w:rsidRPr="00992D5D">
        <w:rPr>
          <w:rFonts w:ascii="Arial" w:hAnsi="Arial" w:cs="Arial"/>
          <w:iCs/>
          <w:sz w:val="20"/>
          <w:szCs w:val="20"/>
        </w:rPr>
        <w:t xml:space="preserve">experience at </w:t>
      </w:r>
      <w:r w:rsidRPr="00992D5D">
        <w:rPr>
          <w:rFonts w:ascii="Arial" w:hAnsi="Arial" w:cs="Arial"/>
          <w:iCs/>
          <w:sz w:val="20"/>
          <w:szCs w:val="20"/>
        </w:rPr>
        <w:t xml:space="preserve">a recognised </w:t>
      </w:r>
      <w:r w:rsidR="00662064" w:rsidRPr="00992D5D">
        <w:rPr>
          <w:rFonts w:ascii="Arial" w:hAnsi="Arial" w:cs="Arial"/>
          <w:iCs/>
          <w:sz w:val="20"/>
          <w:szCs w:val="20"/>
        </w:rPr>
        <w:t>law firm and in-house</w:t>
      </w:r>
      <w:r w:rsidRPr="00992D5D">
        <w:rPr>
          <w:rFonts w:ascii="Arial" w:hAnsi="Arial" w:cs="Arial"/>
          <w:iCs/>
          <w:sz w:val="20"/>
          <w:szCs w:val="20"/>
        </w:rPr>
        <w:t xml:space="preserve"> environment</w:t>
      </w:r>
      <w:r w:rsidR="00662064" w:rsidRPr="00992D5D">
        <w:rPr>
          <w:rFonts w:ascii="Arial" w:hAnsi="Arial" w:cs="Arial"/>
          <w:iCs/>
          <w:sz w:val="20"/>
          <w:szCs w:val="20"/>
        </w:rPr>
        <w:t xml:space="preserve">. </w:t>
      </w:r>
    </w:p>
    <w:p w:rsidR="00662064" w:rsidRPr="00992D5D" w:rsidRDefault="00662064" w:rsidP="000722F1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346229" w:rsidRPr="00F14A2B" w:rsidRDefault="0080417D" w:rsidP="00F14A2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>S</w:t>
      </w:r>
      <w:r w:rsidR="00662064" w:rsidRPr="00992D5D">
        <w:rPr>
          <w:rFonts w:ascii="Arial" w:hAnsi="Arial" w:cs="Arial"/>
          <w:sz w:val="20"/>
          <w:szCs w:val="20"/>
        </w:rPr>
        <w:t xml:space="preserve">trong </w:t>
      </w:r>
      <w:r w:rsidRPr="00992D5D">
        <w:rPr>
          <w:rFonts w:ascii="Arial" w:hAnsi="Arial" w:cs="Arial"/>
          <w:sz w:val="20"/>
          <w:szCs w:val="20"/>
        </w:rPr>
        <w:t xml:space="preserve">academics and training, including </w:t>
      </w:r>
      <w:r w:rsidR="004D36E0" w:rsidRPr="00992D5D">
        <w:rPr>
          <w:rFonts w:ascii="Arial" w:hAnsi="Arial" w:cs="Arial"/>
          <w:sz w:val="20"/>
          <w:szCs w:val="20"/>
        </w:rPr>
        <w:t>legal drafting</w:t>
      </w:r>
      <w:r w:rsidR="00662064" w:rsidRPr="00992D5D">
        <w:rPr>
          <w:rFonts w:ascii="Arial" w:hAnsi="Arial" w:cs="Arial"/>
          <w:sz w:val="20"/>
          <w:szCs w:val="20"/>
        </w:rPr>
        <w:t xml:space="preserve"> and negotiating</w:t>
      </w:r>
      <w:r w:rsidR="004D36E0" w:rsidRPr="00992D5D">
        <w:rPr>
          <w:rFonts w:ascii="Arial" w:hAnsi="Arial" w:cs="Arial"/>
          <w:sz w:val="20"/>
          <w:szCs w:val="20"/>
        </w:rPr>
        <w:t>,</w:t>
      </w:r>
      <w:r w:rsidR="00662064" w:rsidRPr="00992D5D">
        <w:rPr>
          <w:rFonts w:ascii="Arial" w:hAnsi="Arial" w:cs="Arial"/>
          <w:sz w:val="20"/>
          <w:szCs w:val="20"/>
        </w:rPr>
        <w:t xml:space="preserve"> and</w:t>
      </w:r>
      <w:r w:rsidR="004D36E0" w:rsidRPr="00992D5D">
        <w:rPr>
          <w:rFonts w:ascii="Arial" w:hAnsi="Arial" w:cs="Arial"/>
          <w:sz w:val="20"/>
          <w:szCs w:val="20"/>
        </w:rPr>
        <w:t xml:space="preserve"> relationship management. </w:t>
      </w:r>
    </w:p>
    <w:p w:rsidR="004D36E0" w:rsidRPr="00992D5D" w:rsidRDefault="004D36E0" w:rsidP="000722F1">
      <w:pPr>
        <w:pStyle w:val="ListParagraph"/>
        <w:jc w:val="both"/>
        <w:rPr>
          <w:rFonts w:ascii="Arial" w:hAnsi="Arial" w:cs="Arial"/>
        </w:rPr>
      </w:pPr>
    </w:p>
    <w:p w:rsidR="004D36E0" w:rsidRPr="00992D5D" w:rsidRDefault="004D36E0" w:rsidP="000722F1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>Excellent written and oral communication skills along with a demonstrated ability to collaborate with internal and external stakeh</w:t>
      </w:r>
      <w:r w:rsidR="00662064" w:rsidRPr="00992D5D">
        <w:rPr>
          <w:rFonts w:ascii="Arial" w:hAnsi="Arial" w:cs="Arial"/>
          <w:sz w:val="20"/>
          <w:szCs w:val="20"/>
        </w:rPr>
        <w:t>olders</w:t>
      </w:r>
      <w:r w:rsidRPr="00992D5D">
        <w:rPr>
          <w:rFonts w:ascii="Arial" w:hAnsi="Arial" w:cs="Arial"/>
          <w:sz w:val="20"/>
          <w:szCs w:val="20"/>
        </w:rPr>
        <w:t xml:space="preserve">. </w:t>
      </w:r>
    </w:p>
    <w:p w:rsidR="004D36E0" w:rsidRPr="00992D5D" w:rsidRDefault="004D36E0" w:rsidP="000722F1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365CD8" w:rsidRPr="00992D5D" w:rsidRDefault="00365CD8" w:rsidP="000722F1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Ability to work in a team environment as well as on own initiative</w:t>
      </w:r>
      <w:r w:rsidR="009628C7" w:rsidRPr="00992D5D">
        <w:rPr>
          <w:rFonts w:ascii="Arial" w:hAnsi="Arial" w:cs="Arial"/>
          <w:iCs/>
          <w:sz w:val="20"/>
          <w:szCs w:val="20"/>
        </w:rPr>
        <w:t>.</w:t>
      </w:r>
    </w:p>
    <w:p w:rsidR="00992D5D" w:rsidRDefault="00992D5D" w:rsidP="000722F1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992D5D" w:rsidRPr="00992D5D" w:rsidRDefault="00992D5D" w:rsidP="000722F1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 xml:space="preserve">Ability to prioritise and manage a varied and busy workload. </w:t>
      </w:r>
    </w:p>
    <w:p w:rsidR="00B402EC" w:rsidRPr="00992D5D" w:rsidRDefault="00B402EC" w:rsidP="000722F1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B402EC" w:rsidRDefault="0059009C" w:rsidP="000722F1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>Positive attitude, h</w:t>
      </w:r>
      <w:r w:rsidR="00B402EC" w:rsidRPr="00992D5D">
        <w:rPr>
          <w:rFonts w:ascii="Arial" w:hAnsi="Arial" w:cs="Arial"/>
          <w:sz w:val="20"/>
          <w:szCs w:val="20"/>
        </w:rPr>
        <w:t>igh level of integrity</w:t>
      </w:r>
      <w:r w:rsidRPr="00992D5D">
        <w:rPr>
          <w:rFonts w:ascii="Arial" w:hAnsi="Arial" w:cs="Arial"/>
          <w:sz w:val="20"/>
          <w:szCs w:val="20"/>
        </w:rPr>
        <w:t xml:space="preserve"> and intellectual curiosity</w:t>
      </w:r>
      <w:r w:rsidR="00B402EC" w:rsidRPr="00992D5D">
        <w:rPr>
          <w:rFonts w:ascii="Arial" w:hAnsi="Arial" w:cs="Arial"/>
          <w:sz w:val="20"/>
          <w:szCs w:val="20"/>
        </w:rPr>
        <w:t>.</w:t>
      </w:r>
    </w:p>
    <w:p w:rsidR="00992D5D" w:rsidRDefault="00992D5D" w:rsidP="000722F1">
      <w:pPr>
        <w:pStyle w:val="ListParagraph"/>
        <w:jc w:val="both"/>
        <w:rPr>
          <w:rFonts w:ascii="Arial" w:hAnsi="Arial" w:cs="Arial"/>
        </w:rPr>
      </w:pPr>
    </w:p>
    <w:p w:rsidR="00992D5D" w:rsidRPr="00992D5D" w:rsidRDefault="00992D5D" w:rsidP="000722F1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Fluent in English.</w:t>
      </w:r>
    </w:p>
    <w:p w:rsidR="00992D5D" w:rsidRPr="00992D5D" w:rsidRDefault="00992D5D" w:rsidP="000722F1">
      <w:pPr>
        <w:ind w:left="677"/>
        <w:jc w:val="both"/>
        <w:rPr>
          <w:rFonts w:ascii="Arial" w:hAnsi="Arial" w:cs="Arial"/>
          <w:sz w:val="20"/>
          <w:szCs w:val="20"/>
        </w:rPr>
      </w:pPr>
    </w:p>
    <w:p w:rsidR="009628C7" w:rsidRPr="00992D5D" w:rsidRDefault="009628C7" w:rsidP="000722F1">
      <w:pPr>
        <w:pStyle w:val="ListParagraph"/>
        <w:jc w:val="both"/>
        <w:rPr>
          <w:rFonts w:ascii="Arial" w:hAnsi="Arial" w:cs="Arial"/>
          <w:iCs/>
        </w:rPr>
      </w:pPr>
    </w:p>
    <w:p w:rsidR="003B2C6F" w:rsidRPr="00992D5D" w:rsidRDefault="003B2C6F" w:rsidP="000722F1">
      <w:pPr>
        <w:jc w:val="both"/>
        <w:rPr>
          <w:rFonts w:ascii="Arial" w:hAnsi="Arial" w:cs="Arial"/>
          <w:b/>
          <w:sz w:val="20"/>
          <w:szCs w:val="20"/>
        </w:rPr>
      </w:pPr>
    </w:p>
    <w:p w:rsidR="003B2C6F" w:rsidRPr="00992D5D" w:rsidRDefault="00ED347D" w:rsidP="000722F1">
      <w:pPr>
        <w:jc w:val="both"/>
        <w:rPr>
          <w:rFonts w:ascii="Arial" w:hAnsi="Arial" w:cs="Arial"/>
          <w:b/>
          <w:sz w:val="20"/>
          <w:szCs w:val="20"/>
        </w:rPr>
      </w:pPr>
      <w:r w:rsidRPr="00992D5D">
        <w:rPr>
          <w:rFonts w:ascii="Arial" w:hAnsi="Arial" w:cs="Arial"/>
          <w:b/>
          <w:sz w:val="20"/>
          <w:szCs w:val="20"/>
        </w:rPr>
        <w:t>Desirable</w:t>
      </w:r>
      <w:r w:rsidR="003B2C6F" w:rsidRPr="00992D5D">
        <w:rPr>
          <w:rFonts w:ascii="Arial" w:hAnsi="Arial" w:cs="Arial"/>
          <w:b/>
          <w:sz w:val="20"/>
          <w:szCs w:val="20"/>
        </w:rPr>
        <w:t xml:space="preserve"> Skills:</w:t>
      </w:r>
    </w:p>
    <w:p w:rsidR="00365CD8" w:rsidRPr="00992D5D" w:rsidRDefault="00365CD8" w:rsidP="000722F1">
      <w:pPr>
        <w:jc w:val="both"/>
        <w:rPr>
          <w:rFonts w:ascii="Arial" w:hAnsi="Arial" w:cs="Arial"/>
          <w:b/>
          <w:sz w:val="20"/>
          <w:szCs w:val="20"/>
        </w:rPr>
      </w:pPr>
    </w:p>
    <w:p w:rsidR="00711C90" w:rsidRPr="00992D5D" w:rsidRDefault="00711C90" w:rsidP="000722F1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92D5D">
        <w:rPr>
          <w:rFonts w:ascii="Arial" w:hAnsi="Arial" w:cs="Arial"/>
          <w:sz w:val="20"/>
          <w:szCs w:val="20"/>
        </w:rPr>
        <w:t>Previous experience of working within a technology and digital legal environment</w:t>
      </w:r>
      <w:r w:rsidR="00346229" w:rsidRPr="00992D5D">
        <w:rPr>
          <w:rFonts w:ascii="Arial" w:hAnsi="Arial" w:cs="Arial"/>
          <w:sz w:val="20"/>
          <w:szCs w:val="20"/>
        </w:rPr>
        <w:t>.</w:t>
      </w:r>
    </w:p>
    <w:p w:rsidR="009628C7" w:rsidRPr="00992D5D" w:rsidRDefault="009628C7" w:rsidP="000722F1">
      <w:pPr>
        <w:ind w:left="720"/>
        <w:jc w:val="both"/>
        <w:rPr>
          <w:rFonts w:ascii="Arial" w:hAnsi="Arial" w:cs="Arial"/>
          <w:iCs/>
          <w:sz w:val="20"/>
          <w:szCs w:val="20"/>
        </w:rPr>
      </w:pPr>
    </w:p>
    <w:p w:rsidR="00365CD8" w:rsidRPr="00992D5D" w:rsidRDefault="00365CD8" w:rsidP="000722F1">
      <w:pPr>
        <w:numPr>
          <w:ilvl w:val="0"/>
          <w:numId w:val="14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 xml:space="preserve">Knowledge of </w:t>
      </w:r>
      <w:r w:rsidR="00331993" w:rsidRPr="00992D5D">
        <w:rPr>
          <w:rFonts w:ascii="Arial" w:hAnsi="Arial" w:cs="Arial"/>
          <w:iCs/>
          <w:sz w:val="20"/>
          <w:szCs w:val="20"/>
        </w:rPr>
        <w:t>f</w:t>
      </w:r>
      <w:r w:rsidR="00DC1743" w:rsidRPr="00992D5D">
        <w:rPr>
          <w:rFonts w:ascii="Arial" w:hAnsi="Arial" w:cs="Arial"/>
          <w:iCs/>
          <w:sz w:val="20"/>
          <w:szCs w:val="20"/>
        </w:rPr>
        <w:t>intech</w:t>
      </w:r>
      <w:r w:rsidR="00331993" w:rsidRPr="00992D5D">
        <w:rPr>
          <w:rFonts w:ascii="Arial" w:hAnsi="Arial" w:cs="Arial"/>
          <w:iCs/>
          <w:sz w:val="20"/>
          <w:szCs w:val="20"/>
        </w:rPr>
        <w:t xml:space="preserve"> and payments</w:t>
      </w:r>
      <w:r w:rsidR="00DC1743" w:rsidRPr="00992D5D">
        <w:rPr>
          <w:rFonts w:ascii="Arial" w:hAnsi="Arial" w:cs="Arial"/>
          <w:iCs/>
          <w:sz w:val="20"/>
          <w:szCs w:val="20"/>
        </w:rPr>
        <w:t xml:space="preserve"> industry</w:t>
      </w:r>
      <w:r w:rsidR="00346229" w:rsidRPr="00992D5D">
        <w:rPr>
          <w:rFonts w:ascii="Arial" w:hAnsi="Arial" w:cs="Arial"/>
          <w:iCs/>
          <w:sz w:val="20"/>
          <w:szCs w:val="20"/>
        </w:rPr>
        <w:t xml:space="preserve"> (and applicable regulation)</w:t>
      </w:r>
      <w:r w:rsidRPr="00992D5D">
        <w:rPr>
          <w:rFonts w:ascii="Arial" w:hAnsi="Arial" w:cs="Arial"/>
          <w:iCs/>
          <w:sz w:val="20"/>
          <w:szCs w:val="20"/>
        </w:rPr>
        <w:t>.</w:t>
      </w:r>
    </w:p>
    <w:p w:rsidR="009628C7" w:rsidRPr="00992D5D" w:rsidRDefault="009628C7" w:rsidP="000722F1">
      <w:pPr>
        <w:ind w:left="720"/>
        <w:jc w:val="both"/>
        <w:rPr>
          <w:rFonts w:ascii="Arial" w:hAnsi="Arial" w:cs="Arial"/>
          <w:iCs/>
          <w:sz w:val="20"/>
          <w:szCs w:val="20"/>
        </w:rPr>
      </w:pPr>
    </w:p>
    <w:p w:rsidR="00365CD8" w:rsidRPr="00992D5D" w:rsidRDefault="00365CD8" w:rsidP="000722F1">
      <w:pPr>
        <w:numPr>
          <w:ilvl w:val="0"/>
          <w:numId w:val="14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Previous experience of cross-border and</w:t>
      </w:r>
      <w:r w:rsidR="00DC1743" w:rsidRPr="00992D5D">
        <w:rPr>
          <w:rFonts w:ascii="Arial" w:hAnsi="Arial" w:cs="Arial"/>
          <w:iCs/>
          <w:sz w:val="20"/>
          <w:szCs w:val="20"/>
        </w:rPr>
        <w:t xml:space="preserve"> multi-jurisdictional contracts</w:t>
      </w:r>
      <w:r w:rsidR="00346229" w:rsidRPr="00992D5D">
        <w:rPr>
          <w:rFonts w:ascii="Arial" w:hAnsi="Arial" w:cs="Arial"/>
          <w:iCs/>
          <w:sz w:val="20"/>
          <w:szCs w:val="20"/>
        </w:rPr>
        <w:t>.</w:t>
      </w:r>
    </w:p>
    <w:p w:rsidR="009628C7" w:rsidRPr="00992D5D" w:rsidRDefault="009628C7" w:rsidP="000722F1">
      <w:pPr>
        <w:pStyle w:val="ListParagraph"/>
        <w:jc w:val="both"/>
        <w:rPr>
          <w:rFonts w:ascii="Arial" w:hAnsi="Arial" w:cs="Arial"/>
          <w:iCs/>
        </w:rPr>
      </w:pPr>
    </w:p>
    <w:p w:rsidR="00264EAC" w:rsidRPr="0049296D" w:rsidRDefault="00346229" w:rsidP="003B2C6F">
      <w:pPr>
        <w:numPr>
          <w:ilvl w:val="0"/>
          <w:numId w:val="14"/>
        </w:numPr>
        <w:jc w:val="both"/>
        <w:rPr>
          <w:rFonts w:ascii="Arial" w:hAnsi="Arial" w:cs="Arial"/>
          <w:iCs/>
          <w:sz w:val="20"/>
          <w:szCs w:val="20"/>
        </w:rPr>
      </w:pPr>
      <w:r w:rsidRPr="00992D5D">
        <w:rPr>
          <w:rFonts w:ascii="Arial" w:hAnsi="Arial" w:cs="Arial"/>
          <w:iCs/>
          <w:sz w:val="20"/>
          <w:szCs w:val="20"/>
        </w:rPr>
        <w:t>Additional European language.</w:t>
      </w:r>
    </w:p>
    <w:sectPr w:rsidR="00264EAC" w:rsidRPr="0049296D" w:rsidSect="00F826EF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48" w:rsidRDefault="00B35C48">
      <w:r>
        <w:separator/>
      </w:r>
    </w:p>
  </w:endnote>
  <w:endnote w:type="continuationSeparator" w:id="0">
    <w:p w:rsidR="00B35C48" w:rsidRDefault="00B3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48" w:rsidRDefault="00B35C48">
      <w:r>
        <w:separator/>
      </w:r>
    </w:p>
  </w:footnote>
  <w:footnote w:type="continuationSeparator" w:id="0">
    <w:p w:rsidR="00B35C48" w:rsidRDefault="00B3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540CBE"/>
    <w:lvl w:ilvl="0">
      <w:numFmt w:val="decimal"/>
      <w:lvlText w:val="*"/>
      <w:lvlJc w:val="left"/>
    </w:lvl>
  </w:abstractNum>
  <w:abstractNum w:abstractNumId="1" w15:restartNumberingAfterBreak="0">
    <w:nsid w:val="000D3121"/>
    <w:multiLevelType w:val="hybridMultilevel"/>
    <w:tmpl w:val="A29A61DE"/>
    <w:lvl w:ilvl="0" w:tplc="D512B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1C1C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B20E5"/>
    <w:multiLevelType w:val="hybridMultilevel"/>
    <w:tmpl w:val="079C38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C1F"/>
    <w:multiLevelType w:val="hybridMultilevel"/>
    <w:tmpl w:val="F07EC13E"/>
    <w:lvl w:ilvl="0" w:tplc="57908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7A88"/>
    <w:multiLevelType w:val="hybridMultilevel"/>
    <w:tmpl w:val="28A244CC"/>
    <w:lvl w:ilvl="0" w:tplc="579089E4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1743126A"/>
    <w:multiLevelType w:val="multilevel"/>
    <w:tmpl w:val="4BD0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B5286"/>
    <w:multiLevelType w:val="hybridMultilevel"/>
    <w:tmpl w:val="424A8826"/>
    <w:lvl w:ilvl="0" w:tplc="579089E4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21B30995"/>
    <w:multiLevelType w:val="hybridMultilevel"/>
    <w:tmpl w:val="9044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6597"/>
    <w:multiLevelType w:val="hybridMultilevel"/>
    <w:tmpl w:val="A4B07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E7A67"/>
    <w:multiLevelType w:val="hybridMultilevel"/>
    <w:tmpl w:val="32680876"/>
    <w:lvl w:ilvl="0" w:tplc="57908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470C"/>
    <w:multiLevelType w:val="hybridMultilevel"/>
    <w:tmpl w:val="AEBAC604"/>
    <w:lvl w:ilvl="0" w:tplc="579089E4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27F52506"/>
    <w:multiLevelType w:val="hybridMultilevel"/>
    <w:tmpl w:val="1A3244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7276DE"/>
    <w:multiLevelType w:val="hybridMultilevel"/>
    <w:tmpl w:val="CD10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44E4"/>
    <w:multiLevelType w:val="hybridMultilevel"/>
    <w:tmpl w:val="5CFC8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1864EA"/>
    <w:multiLevelType w:val="hybridMultilevel"/>
    <w:tmpl w:val="5CA0E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92D51"/>
    <w:multiLevelType w:val="hybridMultilevel"/>
    <w:tmpl w:val="88E8A37C"/>
    <w:lvl w:ilvl="0" w:tplc="579089E4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638351F5"/>
    <w:multiLevelType w:val="hybridMultilevel"/>
    <w:tmpl w:val="8FCE7A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A6FA4"/>
    <w:multiLevelType w:val="hybridMultilevel"/>
    <w:tmpl w:val="79BCADAC"/>
    <w:lvl w:ilvl="0" w:tplc="144E53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4"/>
  </w:num>
  <w:num w:numId="7">
    <w:abstractNumId w:val="8"/>
  </w:num>
  <w:num w:numId="8">
    <w:abstractNumId w:val="2"/>
  </w:num>
  <w:num w:numId="9">
    <w:abstractNumId w:val="6"/>
  </w:num>
  <w:num w:numId="10">
    <w:abstractNumId w:val="15"/>
  </w:num>
  <w:num w:numId="11">
    <w:abstractNumId w:val="10"/>
  </w:num>
  <w:num w:numId="12">
    <w:abstractNumId w:val="17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B7"/>
    <w:rsid w:val="000654B5"/>
    <w:rsid w:val="000722F1"/>
    <w:rsid w:val="0009326A"/>
    <w:rsid w:val="000C174C"/>
    <w:rsid w:val="000E39C8"/>
    <w:rsid w:val="000F1A97"/>
    <w:rsid w:val="00116724"/>
    <w:rsid w:val="001366BE"/>
    <w:rsid w:val="0016040D"/>
    <w:rsid w:val="00163608"/>
    <w:rsid w:val="001A478B"/>
    <w:rsid w:val="001A68AE"/>
    <w:rsid w:val="001A78A1"/>
    <w:rsid w:val="002034F2"/>
    <w:rsid w:val="00222C1F"/>
    <w:rsid w:val="00264EAC"/>
    <w:rsid w:val="002664CC"/>
    <w:rsid w:val="002673D6"/>
    <w:rsid w:val="002B0163"/>
    <w:rsid w:val="00322AF0"/>
    <w:rsid w:val="00331993"/>
    <w:rsid w:val="0033553F"/>
    <w:rsid w:val="003368B0"/>
    <w:rsid w:val="00346229"/>
    <w:rsid w:val="00365CD8"/>
    <w:rsid w:val="00366CE9"/>
    <w:rsid w:val="0037527E"/>
    <w:rsid w:val="00375A04"/>
    <w:rsid w:val="00394B69"/>
    <w:rsid w:val="003B2C6F"/>
    <w:rsid w:val="00401EC6"/>
    <w:rsid w:val="0040746F"/>
    <w:rsid w:val="00426772"/>
    <w:rsid w:val="00431F71"/>
    <w:rsid w:val="00487362"/>
    <w:rsid w:val="0049296D"/>
    <w:rsid w:val="004B13DF"/>
    <w:rsid w:val="004B3673"/>
    <w:rsid w:val="004D36E0"/>
    <w:rsid w:val="0050329B"/>
    <w:rsid w:val="00546AC1"/>
    <w:rsid w:val="0057763F"/>
    <w:rsid w:val="0059009C"/>
    <w:rsid w:val="00590716"/>
    <w:rsid w:val="005E1EE1"/>
    <w:rsid w:val="00643CC2"/>
    <w:rsid w:val="00645025"/>
    <w:rsid w:val="00662064"/>
    <w:rsid w:val="0066220C"/>
    <w:rsid w:val="006D45CC"/>
    <w:rsid w:val="006E7FE4"/>
    <w:rsid w:val="00711C90"/>
    <w:rsid w:val="0077474A"/>
    <w:rsid w:val="007A29D7"/>
    <w:rsid w:val="007B5DFC"/>
    <w:rsid w:val="007D6FA5"/>
    <w:rsid w:val="007E79BE"/>
    <w:rsid w:val="007F3DC6"/>
    <w:rsid w:val="0080417D"/>
    <w:rsid w:val="008125AA"/>
    <w:rsid w:val="00814AE2"/>
    <w:rsid w:val="00817C21"/>
    <w:rsid w:val="00856DE9"/>
    <w:rsid w:val="00874106"/>
    <w:rsid w:val="008867D9"/>
    <w:rsid w:val="008A1D11"/>
    <w:rsid w:val="008F3BE3"/>
    <w:rsid w:val="009045BA"/>
    <w:rsid w:val="00916882"/>
    <w:rsid w:val="009357AA"/>
    <w:rsid w:val="009527B6"/>
    <w:rsid w:val="0095716E"/>
    <w:rsid w:val="009628C7"/>
    <w:rsid w:val="009862DC"/>
    <w:rsid w:val="00992D5D"/>
    <w:rsid w:val="009D6C79"/>
    <w:rsid w:val="00A006DC"/>
    <w:rsid w:val="00A123A7"/>
    <w:rsid w:val="00A45719"/>
    <w:rsid w:val="00A922B8"/>
    <w:rsid w:val="00AA155F"/>
    <w:rsid w:val="00AB1197"/>
    <w:rsid w:val="00AC6D81"/>
    <w:rsid w:val="00AD5E38"/>
    <w:rsid w:val="00B21F63"/>
    <w:rsid w:val="00B35C48"/>
    <w:rsid w:val="00B365DC"/>
    <w:rsid w:val="00B402EC"/>
    <w:rsid w:val="00B517BA"/>
    <w:rsid w:val="00B54C0B"/>
    <w:rsid w:val="00B7005B"/>
    <w:rsid w:val="00B958B5"/>
    <w:rsid w:val="00BA3BF3"/>
    <w:rsid w:val="00BA4257"/>
    <w:rsid w:val="00BD44BD"/>
    <w:rsid w:val="00C36B61"/>
    <w:rsid w:val="00C727BE"/>
    <w:rsid w:val="00C76F47"/>
    <w:rsid w:val="00CB0FD2"/>
    <w:rsid w:val="00CF74B3"/>
    <w:rsid w:val="00D36737"/>
    <w:rsid w:val="00DB58A2"/>
    <w:rsid w:val="00DC1743"/>
    <w:rsid w:val="00DD284F"/>
    <w:rsid w:val="00DE4132"/>
    <w:rsid w:val="00E56415"/>
    <w:rsid w:val="00E73407"/>
    <w:rsid w:val="00EA4229"/>
    <w:rsid w:val="00EB7EB7"/>
    <w:rsid w:val="00ED347D"/>
    <w:rsid w:val="00EF120F"/>
    <w:rsid w:val="00F012F2"/>
    <w:rsid w:val="00F14A2B"/>
    <w:rsid w:val="00F540F1"/>
    <w:rsid w:val="00F60150"/>
    <w:rsid w:val="00F70FA4"/>
    <w:rsid w:val="00F802C6"/>
    <w:rsid w:val="00F826EF"/>
    <w:rsid w:val="00F8791C"/>
    <w:rsid w:val="00F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AA940-6BC1-4040-9EBB-D9934F2D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i/>
      <w:iCs/>
      <w:sz w:val="20"/>
    </w:rPr>
  </w:style>
  <w:style w:type="paragraph" w:styleId="BodyText2">
    <w:name w:val="Body Text 2"/>
    <w:basedOn w:val="Normal"/>
    <w:rPr>
      <w:rFonts w:ascii="Arial" w:hAnsi="Arial" w:cs="Arial"/>
      <w:color w:val="000080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 w:cs="Arial"/>
      <w:color w:val="333399"/>
      <w:sz w:val="22"/>
    </w:rPr>
  </w:style>
  <w:style w:type="character" w:styleId="Hyperlink">
    <w:name w:val="Hyperlink"/>
    <w:rsid w:val="003B2C6F"/>
    <w:rPr>
      <w:color w:val="000080"/>
      <w:u w:val="none"/>
    </w:rPr>
  </w:style>
  <w:style w:type="paragraph" w:styleId="ListParagraph">
    <w:name w:val="List Paragraph"/>
    <w:basedOn w:val="Normal"/>
    <w:qFormat/>
    <w:rsid w:val="00365CD8"/>
    <w:pPr>
      <w:ind w:left="720"/>
      <w:contextualSpacing/>
    </w:pPr>
    <w:rPr>
      <w:rFonts w:eastAsia="Calibri"/>
      <w:sz w:val="20"/>
      <w:szCs w:val="20"/>
    </w:rPr>
  </w:style>
  <w:style w:type="character" w:styleId="CommentReference">
    <w:name w:val="annotation reference"/>
    <w:rsid w:val="005900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9C"/>
    <w:rPr>
      <w:sz w:val="20"/>
      <w:szCs w:val="20"/>
    </w:rPr>
  </w:style>
  <w:style w:type="character" w:customStyle="1" w:styleId="CommentTextChar">
    <w:name w:val="Comment Text Char"/>
    <w:link w:val="CommentText"/>
    <w:rsid w:val="005900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9C"/>
    <w:rPr>
      <w:b/>
      <w:bCs/>
    </w:rPr>
  </w:style>
  <w:style w:type="character" w:customStyle="1" w:styleId="CommentSubjectChar">
    <w:name w:val="Comment Subject Char"/>
    <w:link w:val="CommentSubject"/>
    <w:rsid w:val="0059009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9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00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Europe Job Description</vt:lpstr>
    </vt:vector>
  </TitlesOfParts>
  <Company>Visa International</Company>
  <LinksUpToDate>false</LinksUpToDate>
  <CharactersWithSpaces>5415</CharactersWithSpaces>
  <SharedDoc>false</SharedDoc>
  <HLinks>
    <vt:vector size="6" baseType="variant">
      <vt:variant>
        <vt:i4>5439501</vt:i4>
      </vt:variant>
      <vt:variant>
        <vt:i4>2142</vt:i4>
      </vt:variant>
      <vt:variant>
        <vt:i4>1025</vt:i4>
      </vt:variant>
      <vt:variant>
        <vt:i4>1</vt:i4>
      </vt:variant>
      <vt:variant>
        <vt:lpwstr>http://intranet/europe/london/marketing/pics/rscs.gif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Europe Job Description</dc:title>
  <dc:subject/>
  <dc:creator>Samantha Baker</dc:creator>
  <cp:keywords/>
  <cp:lastModifiedBy>User</cp:lastModifiedBy>
  <cp:revision>2</cp:revision>
  <cp:lastPrinted>2017-05-05T10:00:00Z</cp:lastPrinted>
  <dcterms:created xsi:type="dcterms:W3CDTF">2018-07-11T23:31:00Z</dcterms:created>
  <dcterms:modified xsi:type="dcterms:W3CDTF">2018-07-11T23:31:00Z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