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1383" w:rsidRDefault="00431383" w:rsidP="00431383">
      <w:pPr>
        <w:rPr>
          <w:rFonts w:ascii="Arial" w:hAnsi="Arial" w:cs="Arial"/>
          <w:color w:val="222222"/>
        </w:rPr>
      </w:pPr>
      <w:r>
        <w:rPr>
          <w:rFonts w:ascii="Trebuchet MS" w:hAnsi="Trebuchet MS"/>
          <w:color w:val="444444"/>
        </w:rPr>
        <w:t>Dear all,</w:t>
      </w:r>
    </w:p>
    <w:p w:rsidR="00431383" w:rsidRDefault="00431383" w:rsidP="00431383">
      <w:pPr>
        <w:rPr>
          <w:rFonts w:ascii="Arial" w:hAnsi="Arial" w:cs="Arial"/>
          <w:color w:val="222222"/>
        </w:rPr>
      </w:pPr>
    </w:p>
    <w:p w:rsidR="00431383" w:rsidRDefault="00431383" w:rsidP="00431383">
      <w:pPr>
        <w:rPr>
          <w:rFonts w:ascii="Arial" w:hAnsi="Arial" w:cs="Arial"/>
          <w:color w:val="222222"/>
        </w:rPr>
      </w:pPr>
      <w:r>
        <w:rPr>
          <w:rFonts w:ascii="Trebuchet MS" w:hAnsi="Trebuchet MS"/>
          <w:color w:val="444444"/>
        </w:rPr>
        <w:t xml:space="preserve">Here is a round-up of the most important developments in the EU Data Protection world in the past month (and they are many!), when the GDPR also celebrated its </w:t>
      </w:r>
      <w:r>
        <w:rPr>
          <w:rFonts w:ascii="Trebuchet MS" w:hAnsi="Trebuchet MS"/>
          <w:color w:val="444444"/>
        </w:rPr>
        <w:t>first-year</w:t>
      </w:r>
      <w:r>
        <w:rPr>
          <w:rFonts w:ascii="Trebuchet MS" w:hAnsi="Trebuchet MS"/>
          <w:color w:val="444444"/>
        </w:rPr>
        <w:t xml:space="preserve"> anniversary:</w:t>
      </w:r>
    </w:p>
    <w:p w:rsidR="00431383" w:rsidRDefault="00431383" w:rsidP="00431383">
      <w:pPr>
        <w:rPr>
          <w:rFonts w:ascii="Arial" w:hAnsi="Arial" w:cs="Arial"/>
          <w:color w:val="222222"/>
        </w:rPr>
      </w:pPr>
    </w:p>
    <w:p w:rsidR="00431383" w:rsidRDefault="00431383" w:rsidP="00431383">
      <w:pPr>
        <w:pStyle w:val="NormalWeb"/>
        <w:spacing w:before="0" w:beforeAutospacing="0" w:after="0" w:afterAutospacing="0"/>
        <w:rPr>
          <w:rFonts w:ascii="Arial" w:hAnsi="Arial" w:cs="Arial"/>
          <w:color w:val="222222"/>
        </w:rPr>
      </w:pPr>
      <w:r>
        <w:rPr>
          <w:rFonts w:ascii="Trebuchet MS" w:hAnsi="Trebuchet MS"/>
          <w:b/>
          <w:bCs/>
          <w:color w:val="444444"/>
        </w:rPr>
        <w:t>Enforcement </w:t>
      </w:r>
    </w:p>
    <w:p w:rsidR="00431383" w:rsidRDefault="00431383" w:rsidP="00431383">
      <w:pPr>
        <w:pStyle w:val="NormalWeb"/>
        <w:spacing w:before="0" w:beforeAutospacing="0" w:after="0" w:afterAutospacing="0"/>
        <w:rPr>
          <w:rFonts w:ascii="Arial" w:hAnsi="Arial" w:cs="Arial"/>
          <w:color w:val="222222"/>
        </w:rPr>
      </w:pPr>
      <w:r>
        <w:rPr>
          <w:rFonts w:ascii="Trebuchet MS" w:hAnsi="Trebuchet MS"/>
          <w:color w:val="444444"/>
        </w:rPr>
        <w:t> </w:t>
      </w:r>
    </w:p>
    <w:p w:rsidR="00431383" w:rsidRDefault="00431383" w:rsidP="00431383">
      <w:pPr>
        <w:numPr>
          <w:ilvl w:val="0"/>
          <w:numId w:val="1"/>
        </w:numPr>
        <w:ind w:left="765"/>
        <w:textAlignment w:val="center"/>
        <w:rPr>
          <w:rFonts w:ascii="Arial" w:hAnsi="Arial" w:cs="Arial"/>
          <w:color w:val="222222"/>
        </w:rPr>
      </w:pPr>
      <w:r>
        <w:rPr>
          <w:rFonts w:ascii="Trebuchet MS" w:hAnsi="Trebuchet MS"/>
          <w:color w:val="444444"/>
        </w:rPr>
        <w:t>The </w:t>
      </w:r>
      <w:r>
        <w:rPr>
          <w:rFonts w:ascii="Trebuchet MS" w:hAnsi="Trebuchet MS"/>
          <w:b/>
          <w:bCs/>
          <w:color w:val="444444"/>
        </w:rPr>
        <w:t>Italian DPA </w:t>
      </w:r>
      <w:hyperlink r:id="rId5" w:anchor="3" w:tgtFrame="_blank" w:history="1">
        <w:r>
          <w:rPr>
            <w:rStyle w:val="Hyperlink"/>
            <w:rFonts w:ascii="Trebuchet MS" w:hAnsi="Trebuchet MS"/>
            <w:b/>
            <w:bCs/>
          </w:rPr>
          <w:t>levied a 2.000.000€</w:t>
        </w:r>
      </w:hyperlink>
      <w:r>
        <w:rPr>
          <w:rFonts w:ascii="Trebuchet MS" w:hAnsi="Trebuchet MS"/>
          <w:b/>
          <w:bCs/>
          <w:color w:val="444444"/>
        </w:rPr>
        <w:t> </w:t>
      </w:r>
      <w:r>
        <w:rPr>
          <w:rFonts w:ascii="Trebuchet MS" w:hAnsi="Trebuchet MS"/>
          <w:color w:val="444444"/>
        </w:rPr>
        <w:t>(IT) </w:t>
      </w:r>
      <w:r>
        <w:rPr>
          <w:rFonts w:ascii="Trebuchet MS" w:hAnsi="Trebuchet MS"/>
          <w:b/>
          <w:bCs/>
          <w:color w:val="444444"/>
        </w:rPr>
        <w:t>fine against a telemarketing company and its call-center operations </w:t>
      </w:r>
      <w:r>
        <w:rPr>
          <w:rFonts w:ascii="Trebuchet MS" w:hAnsi="Trebuchet MS"/>
          <w:color w:val="444444"/>
        </w:rPr>
        <w:t xml:space="preserve">conducted by a de facto "sub-contractor" in Albania for creating contact lists, calling people and sharing their telephone numbers with a third party (their client) without consent. There was no formal arrangement in place between the telemarketing company, the Albanian entity and the </w:t>
      </w:r>
      <w:proofErr w:type="gramStart"/>
      <w:r>
        <w:rPr>
          <w:rFonts w:ascii="Trebuchet MS" w:hAnsi="Trebuchet MS"/>
          <w:color w:val="444444"/>
        </w:rPr>
        <w:t>third party</w:t>
      </w:r>
      <w:proofErr w:type="gramEnd"/>
      <w:r>
        <w:rPr>
          <w:rFonts w:ascii="Trebuchet MS" w:hAnsi="Trebuchet MS"/>
          <w:color w:val="444444"/>
        </w:rPr>
        <w:t xml:space="preserve"> client. The fine was levied </w:t>
      </w:r>
      <w:r>
        <w:rPr>
          <w:rFonts w:ascii="Trebuchet MS" w:hAnsi="Trebuchet MS"/>
          <w:color w:val="444444"/>
        </w:rPr>
        <w:t>based on</w:t>
      </w:r>
      <w:r>
        <w:rPr>
          <w:rFonts w:ascii="Trebuchet MS" w:hAnsi="Trebuchet MS"/>
          <w:color w:val="444444"/>
        </w:rPr>
        <w:t> </w:t>
      </w:r>
      <w:r>
        <w:rPr>
          <w:rFonts w:ascii="Trebuchet MS" w:hAnsi="Trebuchet MS"/>
          <w:b/>
          <w:bCs/>
          <w:color w:val="444444"/>
        </w:rPr>
        <w:t>the law in force prior to the GDPR</w:t>
      </w:r>
      <w:r>
        <w:rPr>
          <w:rFonts w:ascii="Trebuchet MS" w:hAnsi="Trebuchet MS"/>
          <w:color w:val="444444"/>
        </w:rPr>
        <w:t>, in corroboration with the Law on Administrative Fines in Italy. According to the press release, the sanction was established by summing up each violation for each individual concerned and it takes into account "the seriousness of the company's conduct, its lack of interest in data protection legislation and the serious implications of acquiring new clients based on informal arrangements and unilateral simplification of the legal obligations".</w:t>
      </w:r>
    </w:p>
    <w:p w:rsidR="00431383" w:rsidRDefault="00431383" w:rsidP="00431383">
      <w:pPr>
        <w:pStyle w:val="NormalWeb"/>
        <w:spacing w:before="0" w:beforeAutospacing="0" w:after="0" w:afterAutospacing="0"/>
        <w:rPr>
          <w:rFonts w:ascii="Arial" w:hAnsi="Arial" w:cs="Arial"/>
          <w:color w:val="222222"/>
        </w:rPr>
      </w:pPr>
      <w:r>
        <w:rPr>
          <w:rFonts w:ascii="Trebuchet MS" w:hAnsi="Trebuchet MS"/>
          <w:color w:val="444444"/>
        </w:rPr>
        <w:t> </w:t>
      </w:r>
    </w:p>
    <w:p w:rsidR="00431383" w:rsidRDefault="00431383" w:rsidP="00431383">
      <w:pPr>
        <w:numPr>
          <w:ilvl w:val="0"/>
          <w:numId w:val="2"/>
        </w:numPr>
        <w:ind w:left="765"/>
        <w:textAlignment w:val="center"/>
        <w:rPr>
          <w:rFonts w:ascii="Arial" w:hAnsi="Arial" w:cs="Arial"/>
          <w:color w:val="222222"/>
        </w:rPr>
      </w:pPr>
      <w:r>
        <w:rPr>
          <w:rFonts w:ascii="Trebuchet MS" w:hAnsi="Trebuchet MS"/>
          <w:b/>
          <w:bCs/>
          <w:color w:val="444444"/>
        </w:rPr>
        <w:t>The Spanish DPA </w:t>
      </w:r>
      <w:hyperlink r:id="rId6" w:tgtFrame="_blank" w:history="1">
        <w:r>
          <w:rPr>
            <w:rStyle w:val="Hyperlink"/>
            <w:rFonts w:ascii="Trebuchet MS" w:hAnsi="Trebuchet MS"/>
            <w:b/>
            <w:bCs/>
          </w:rPr>
          <w:t>issued its first major fine</w:t>
        </w:r>
      </w:hyperlink>
      <w:r>
        <w:rPr>
          <w:rFonts w:ascii="Trebuchet MS" w:hAnsi="Trebuchet MS"/>
          <w:b/>
          <w:bCs/>
          <w:color w:val="444444"/>
        </w:rPr>
        <w:t> (ES) under the GDPR,</w:t>
      </w:r>
      <w:r>
        <w:rPr>
          <w:rFonts w:ascii="Trebuchet MS" w:hAnsi="Trebuchet MS"/>
          <w:color w:val="444444"/>
        </w:rPr>
        <w:t> </w:t>
      </w:r>
      <w:r>
        <w:rPr>
          <w:rFonts w:ascii="Trebuchet MS" w:hAnsi="Trebuchet MS"/>
          <w:b/>
          <w:bCs/>
          <w:color w:val="444444"/>
        </w:rPr>
        <w:t>against the Professional Soccer League</w:t>
      </w:r>
      <w:r>
        <w:rPr>
          <w:rFonts w:ascii="Trebuchet MS" w:hAnsi="Trebuchet MS"/>
          <w:color w:val="444444"/>
        </w:rPr>
        <w:t>. In particular, the DPA sanctioned the League because its mobile app was considered not transparent enough about accessing the microphone and using it during football matches, together with location data, to identify bars that streamed matches without paying for a license. The DPA considered there was not enough information given to users about this practice and that there was no possibility to withdraw consent provided to users. The fine amounts to approximatively </w:t>
      </w:r>
      <w:r>
        <w:rPr>
          <w:rFonts w:ascii="Trebuchet MS" w:hAnsi="Trebuchet MS"/>
          <w:b/>
          <w:bCs/>
          <w:color w:val="444444"/>
        </w:rPr>
        <w:t>283.000$</w:t>
      </w:r>
      <w:r>
        <w:rPr>
          <w:rFonts w:ascii="Trebuchet MS" w:hAnsi="Trebuchet MS"/>
          <w:color w:val="444444"/>
        </w:rPr>
        <w:t>and the League plans to challenge it in Court.</w:t>
      </w:r>
    </w:p>
    <w:p w:rsidR="00431383" w:rsidRDefault="00431383" w:rsidP="00431383">
      <w:pPr>
        <w:pStyle w:val="NormalWeb"/>
        <w:spacing w:before="0" w:beforeAutospacing="0" w:after="0" w:afterAutospacing="0"/>
        <w:rPr>
          <w:rFonts w:ascii="Arial" w:hAnsi="Arial" w:cs="Arial"/>
          <w:color w:val="222222"/>
        </w:rPr>
      </w:pPr>
      <w:r>
        <w:rPr>
          <w:rFonts w:ascii="Trebuchet MS" w:hAnsi="Trebuchet MS"/>
          <w:color w:val="444444"/>
        </w:rPr>
        <w:t> </w:t>
      </w:r>
    </w:p>
    <w:p w:rsidR="00431383" w:rsidRDefault="00431383" w:rsidP="00431383">
      <w:pPr>
        <w:numPr>
          <w:ilvl w:val="0"/>
          <w:numId w:val="3"/>
        </w:numPr>
        <w:ind w:left="765"/>
        <w:textAlignment w:val="center"/>
        <w:rPr>
          <w:rFonts w:ascii="Arial" w:hAnsi="Arial" w:cs="Arial"/>
          <w:color w:val="222222"/>
        </w:rPr>
      </w:pPr>
      <w:r>
        <w:rPr>
          <w:rFonts w:ascii="Trebuchet MS" w:hAnsi="Trebuchet MS"/>
          <w:color w:val="444444"/>
        </w:rPr>
        <w:t>The Danish DPA </w:t>
      </w:r>
      <w:hyperlink r:id="rId7" w:tgtFrame="_blank" w:history="1">
        <w:r>
          <w:rPr>
            <w:rStyle w:val="Hyperlink"/>
            <w:rFonts w:ascii="Trebuchet MS" w:hAnsi="Trebuchet MS"/>
          </w:rPr>
          <w:t>sanctioned</w:t>
        </w:r>
      </w:hyperlink>
      <w:r>
        <w:rPr>
          <w:rFonts w:ascii="Trebuchet MS" w:hAnsi="Trebuchet MS"/>
          <w:color w:val="444444"/>
        </w:rPr>
        <w:t> (DK) a furniture design company with approximately </w:t>
      </w:r>
      <w:r>
        <w:rPr>
          <w:rFonts w:ascii="Trebuchet MS" w:hAnsi="Trebuchet MS"/>
          <w:b/>
          <w:bCs/>
          <w:color w:val="444444"/>
        </w:rPr>
        <w:t>230.000$ for keeping the personal data of 385.000 costumers forever</w:t>
      </w:r>
      <w:r>
        <w:rPr>
          <w:rFonts w:ascii="Trebuchet MS" w:hAnsi="Trebuchet MS"/>
          <w:color w:val="444444"/>
        </w:rPr>
        <w:t>. The personal data at issue were names, addresses, phone numbers and purchase history of costumers. The company did not "address when personal data in its old IT systems is no longer required for the purposes for which they were processed, and thus has not defined which deadlines should apply for the deletion of personal data processed by the system".</w:t>
      </w:r>
    </w:p>
    <w:p w:rsidR="00431383" w:rsidRDefault="00431383" w:rsidP="00431383">
      <w:pPr>
        <w:pStyle w:val="NormalWeb"/>
        <w:spacing w:before="0" w:beforeAutospacing="0" w:after="0" w:afterAutospacing="0"/>
        <w:rPr>
          <w:rFonts w:ascii="Arial" w:hAnsi="Arial" w:cs="Arial"/>
          <w:color w:val="222222"/>
        </w:rPr>
      </w:pPr>
      <w:r>
        <w:rPr>
          <w:rFonts w:ascii="Trebuchet MS" w:hAnsi="Trebuchet MS"/>
          <w:color w:val="444444"/>
        </w:rPr>
        <w:t> </w:t>
      </w:r>
    </w:p>
    <w:p w:rsidR="00431383" w:rsidRDefault="00431383" w:rsidP="00431383">
      <w:pPr>
        <w:numPr>
          <w:ilvl w:val="0"/>
          <w:numId w:val="4"/>
        </w:numPr>
        <w:ind w:left="765"/>
        <w:textAlignment w:val="center"/>
        <w:rPr>
          <w:rFonts w:ascii="Arial" w:hAnsi="Arial" w:cs="Arial"/>
          <w:color w:val="222222"/>
        </w:rPr>
      </w:pPr>
      <w:r>
        <w:rPr>
          <w:rFonts w:ascii="Trebuchet MS" w:hAnsi="Trebuchet MS"/>
          <w:color w:val="444444"/>
        </w:rPr>
        <w:t>The Lithuanian DPA </w:t>
      </w:r>
      <w:hyperlink r:id="rId8" w:tgtFrame="_blank" w:history="1">
        <w:r>
          <w:rPr>
            <w:rStyle w:val="Hyperlink"/>
            <w:rFonts w:ascii="Trebuchet MS" w:hAnsi="Trebuchet MS"/>
          </w:rPr>
          <w:t>sanctioned a payment service</w:t>
        </w:r>
      </w:hyperlink>
      <w:r>
        <w:rPr>
          <w:rFonts w:ascii="Trebuchet MS" w:hAnsi="Trebuchet MS"/>
          <w:color w:val="444444"/>
        </w:rPr>
        <w:t xml:space="preserve">, </w:t>
      </w:r>
      <w:proofErr w:type="spellStart"/>
      <w:r>
        <w:rPr>
          <w:rFonts w:ascii="Trebuchet MS" w:hAnsi="Trebuchet MS"/>
          <w:color w:val="444444"/>
        </w:rPr>
        <w:t>Mistertango</w:t>
      </w:r>
      <w:proofErr w:type="spellEnd"/>
      <w:r>
        <w:rPr>
          <w:rFonts w:ascii="Trebuchet MS" w:hAnsi="Trebuchet MS"/>
          <w:color w:val="444444"/>
        </w:rPr>
        <w:t>, for not complying with the principles of </w:t>
      </w:r>
      <w:r>
        <w:rPr>
          <w:rFonts w:ascii="Trebuchet MS" w:hAnsi="Trebuchet MS"/>
          <w:b/>
          <w:bCs/>
          <w:color w:val="444444"/>
        </w:rPr>
        <w:t xml:space="preserve">data </w:t>
      </w:r>
      <w:r>
        <w:rPr>
          <w:rFonts w:ascii="Trebuchet MS" w:hAnsi="Trebuchet MS"/>
          <w:b/>
          <w:bCs/>
          <w:color w:val="444444"/>
        </w:rPr>
        <w:t>minimization</w:t>
      </w:r>
      <w:r>
        <w:rPr>
          <w:rFonts w:ascii="Trebuchet MS" w:hAnsi="Trebuchet MS"/>
          <w:b/>
          <w:bCs/>
          <w:color w:val="444444"/>
        </w:rPr>
        <w:t>, storage limitation, data security and accountability</w:t>
      </w:r>
      <w:r>
        <w:rPr>
          <w:rFonts w:ascii="Trebuchet MS" w:hAnsi="Trebuchet MS"/>
          <w:color w:val="444444"/>
        </w:rPr>
        <w:t>. For example, in addition to the personal data necessary for the transaction, the company also collected information about the customer's loans, pension funds, credit cards etc. The fine amounts to approximately 70.000$. </w:t>
      </w:r>
    </w:p>
    <w:p w:rsidR="00431383" w:rsidRDefault="00431383" w:rsidP="00431383">
      <w:pPr>
        <w:pStyle w:val="NormalWeb"/>
        <w:spacing w:before="0" w:beforeAutospacing="0" w:after="0" w:afterAutospacing="0"/>
        <w:rPr>
          <w:rFonts w:ascii="Arial" w:hAnsi="Arial" w:cs="Arial"/>
          <w:color w:val="222222"/>
        </w:rPr>
      </w:pPr>
      <w:r>
        <w:rPr>
          <w:rFonts w:ascii="Trebuchet MS" w:hAnsi="Trebuchet MS"/>
          <w:color w:val="444444"/>
        </w:rPr>
        <w:t> </w:t>
      </w:r>
    </w:p>
    <w:p w:rsidR="00431383" w:rsidRDefault="00431383" w:rsidP="00431383">
      <w:pPr>
        <w:pStyle w:val="NormalWeb"/>
        <w:spacing w:before="0" w:beforeAutospacing="0" w:after="0" w:afterAutospacing="0"/>
        <w:rPr>
          <w:rFonts w:ascii="Arial" w:hAnsi="Arial" w:cs="Arial"/>
          <w:color w:val="222222"/>
        </w:rPr>
      </w:pPr>
      <w:r>
        <w:rPr>
          <w:rFonts w:ascii="Trebuchet MS" w:hAnsi="Trebuchet MS"/>
          <w:b/>
          <w:bCs/>
          <w:color w:val="444444"/>
        </w:rPr>
        <w:t>Courts</w:t>
      </w:r>
    </w:p>
    <w:p w:rsidR="00431383" w:rsidRDefault="00431383" w:rsidP="00431383">
      <w:pPr>
        <w:pStyle w:val="NormalWeb"/>
        <w:spacing w:before="0" w:beforeAutospacing="0" w:after="0" w:afterAutospacing="0"/>
        <w:rPr>
          <w:rFonts w:ascii="Arial" w:hAnsi="Arial" w:cs="Arial"/>
          <w:color w:val="222222"/>
        </w:rPr>
      </w:pPr>
      <w:r>
        <w:rPr>
          <w:rFonts w:ascii="Trebuchet MS" w:hAnsi="Trebuchet MS"/>
          <w:color w:val="444444"/>
        </w:rPr>
        <w:t> </w:t>
      </w:r>
    </w:p>
    <w:p w:rsidR="00431383" w:rsidRDefault="00431383" w:rsidP="00431383">
      <w:pPr>
        <w:numPr>
          <w:ilvl w:val="0"/>
          <w:numId w:val="5"/>
        </w:numPr>
        <w:ind w:left="765"/>
        <w:textAlignment w:val="center"/>
        <w:rPr>
          <w:rFonts w:ascii="Arial" w:hAnsi="Arial" w:cs="Arial"/>
          <w:color w:val="222222"/>
        </w:rPr>
      </w:pPr>
      <w:r>
        <w:rPr>
          <w:rFonts w:ascii="Trebuchet MS" w:hAnsi="Trebuchet MS"/>
          <w:color w:val="444444"/>
        </w:rPr>
        <w:t>The Court of Justice of the EU confirmed in </w:t>
      </w:r>
      <w:hyperlink r:id="rId9" w:tgtFrame="_blank" w:history="1">
        <w:r>
          <w:rPr>
            <w:rStyle w:val="Hyperlink"/>
            <w:rFonts w:ascii="Trebuchet MS" w:hAnsi="Trebuchet MS"/>
            <w:i/>
            <w:iCs/>
          </w:rPr>
          <w:t>Google v Germany </w:t>
        </w:r>
      </w:hyperlink>
      <w:r>
        <w:rPr>
          <w:rFonts w:ascii="Trebuchet MS" w:hAnsi="Trebuchet MS"/>
          <w:color w:val="444444"/>
        </w:rPr>
        <w:t>that </w:t>
      </w:r>
      <w:r>
        <w:rPr>
          <w:rFonts w:ascii="Trebuchet MS" w:hAnsi="Trebuchet MS"/>
          <w:b/>
          <w:bCs/>
          <w:color w:val="444444"/>
        </w:rPr>
        <w:t>e-mail services like Gmail do not fall under the definition of "electronic communications service" </w:t>
      </w:r>
      <w:r>
        <w:rPr>
          <w:rFonts w:ascii="Trebuchet MS" w:hAnsi="Trebuchet MS"/>
          <w:color w:val="444444"/>
        </w:rPr>
        <w:t xml:space="preserve">pursuant to the Framework Directive 2002/21/EC as modified by Directive 2009/140/EC. This finding of the Court means that Gmail and similar services, as </w:t>
      </w:r>
      <w:r>
        <w:rPr>
          <w:rFonts w:ascii="Trebuchet MS" w:hAnsi="Trebuchet MS"/>
          <w:color w:val="444444"/>
        </w:rPr>
        <w:lastRenderedPageBreak/>
        <w:t xml:space="preserve">Over-The-Top services, are excluded from the scope of application of the current </w:t>
      </w:r>
      <w:proofErr w:type="spellStart"/>
      <w:r>
        <w:rPr>
          <w:rFonts w:ascii="Trebuchet MS" w:hAnsi="Trebuchet MS"/>
          <w:color w:val="444444"/>
        </w:rPr>
        <w:t>ePrivacy</w:t>
      </w:r>
      <w:proofErr w:type="spellEnd"/>
      <w:r>
        <w:rPr>
          <w:rFonts w:ascii="Trebuchet MS" w:hAnsi="Trebuchet MS"/>
          <w:color w:val="444444"/>
        </w:rPr>
        <w:t xml:space="preserve"> Directive, since the </w:t>
      </w:r>
      <w:proofErr w:type="spellStart"/>
      <w:r>
        <w:rPr>
          <w:rFonts w:ascii="Trebuchet MS" w:hAnsi="Trebuchet MS"/>
          <w:color w:val="444444"/>
        </w:rPr>
        <w:t>ePrivacy</w:t>
      </w:r>
      <w:proofErr w:type="spellEnd"/>
      <w:r>
        <w:rPr>
          <w:rFonts w:ascii="Trebuchet MS" w:hAnsi="Trebuchet MS"/>
          <w:color w:val="444444"/>
        </w:rPr>
        <w:t xml:space="preserve"> Directive relies on definitions included in Directive 2002/21/EC. However, as the European Commission </w:t>
      </w:r>
      <w:hyperlink r:id="rId10" w:tgtFrame="_blank" w:history="1">
        <w:r>
          <w:rPr>
            <w:rStyle w:val="Hyperlink"/>
            <w:rFonts w:ascii="Trebuchet MS" w:hAnsi="Trebuchet MS"/>
          </w:rPr>
          <w:t>pointed out recently</w:t>
        </w:r>
      </w:hyperlink>
      <w:r>
        <w:rPr>
          <w:rFonts w:ascii="Trebuchet MS" w:hAnsi="Trebuchet MS"/>
          <w:color w:val="444444"/>
        </w:rPr>
        <w:t> in an answer submitted to the European Parliament, the definition of electronic communications services was expanded to cover OTTs by the Electronic Communications Code, which was adopted last year, will repeal Directive 2002/21, and will become applicable on December 21, 2020. </w:t>
      </w:r>
    </w:p>
    <w:p w:rsidR="00431383" w:rsidRDefault="00431383" w:rsidP="00431383">
      <w:pPr>
        <w:pStyle w:val="NormalWeb"/>
        <w:spacing w:before="0" w:beforeAutospacing="0" w:after="0" w:afterAutospacing="0"/>
        <w:rPr>
          <w:rFonts w:ascii="Arial" w:hAnsi="Arial" w:cs="Arial"/>
          <w:color w:val="222222"/>
        </w:rPr>
      </w:pPr>
      <w:r>
        <w:rPr>
          <w:rFonts w:ascii="Trebuchet MS" w:hAnsi="Trebuchet MS"/>
          <w:color w:val="444444"/>
        </w:rPr>
        <w:t> </w:t>
      </w:r>
    </w:p>
    <w:p w:rsidR="00431383" w:rsidRDefault="00431383" w:rsidP="00431383">
      <w:pPr>
        <w:numPr>
          <w:ilvl w:val="0"/>
          <w:numId w:val="6"/>
        </w:numPr>
        <w:ind w:left="765"/>
        <w:textAlignment w:val="center"/>
        <w:rPr>
          <w:rFonts w:ascii="Arial" w:hAnsi="Arial" w:cs="Arial"/>
          <w:color w:val="222222"/>
        </w:rPr>
      </w:pPr>
      <w:r>
        <w:rPr>
          <w:rFonts w:ascii="Trebuchet MS" w:hAnsi="Trebuchet MS"/>
          <w:color w:val="444444"/>
        </w:rPr>
        <w:t>The </w:t>
      </w:r>
      <w:r>
        <w:rPr>
          <w:rFonts w:ascii="Trebuchet MS" w:hAnsi="Trebuchet MS"/>
          <w:b/>
          <w:bCs/>
          <w:color w:val="444444"/>
        </w:rPr>
        <w:t>Spanish Constitutional Court </w:t>
      </w:r>
      <w:hyperlink r:id="rId11" w:tgtFrame="_blank" w:history="1">
        <w:r>
          <w:rPr>
            <w:rStyle w:val="Hyperlink"/>
            <w:rFonts w:ascii="Trebuchet MS" w:hAnsi="Trebuchet MS"/>
          </w:rPr>
          <w:t>found that one of the articles</w:t>
        </w:r>
      </w:hyperlink>
      <w:r>
        <w:rPr>
          <w:rFonts w:ascii="Trebuchet MS" w:hAnsi="Trebuchet MS"/>
          <w:color w:val="444444"/>
        </w:rPr>
        <w:t> </w:t>
      </w:r>
      <w:r>
        <w:rPr>
          <w:rFonts w:ascii="Trebuchet MS" w:hAnsi="Trebuchet MS"/>
          <w:b/>
          <w:bCs/>
          <w:color w:val="444444"/>
        </w:rPr>
        <w:t xml:space="preserve">from the GDPR implementation law was </w:t>
      </w:r>
      <w:r>
        <w:rPr>
          <w:rFonts w:ascii="Trebuchet MS" w:hAnsi="Trebuchet MS"/>
          <w:b/>
          <w:bCs/>
          <w:color w:val="444444"/>
        </w:rPr>
        <w:t>unconstitutional.</w:t>
      </w:r>
      <w:r>
        <w:rPr>
          <w:rFonts w:ascii="Trebuchet MS" w:hAnsi="Trebuchet MS"/>
          <w:color w:val="444444"/>
        </w:rPr>
        <w:t xml:space="preserve"> The</w:t>
      </w:r>
      <w:r>
        <w:rPr>
          <w:rFonts w:ascii="Trebuchet MS" w:hAnsi="Trebuchet MS"/>
          <w:color w:val="444444"/>
        </w:rPr>
        <w:t xml:space="preserve"> article modified the Electoral Code of Spain to </w:t>
      </w:r>
      <w:r>
        <w:rPr>
          <w:rFonts w:ascii="Trebuchet MS" w:hAnsi="Trebuchet MS"/>
          <w:b/>
          <w:bCs/>
          <w:color w:val="444444"/>
        </w:rPr>
        <w:t>exempt political parties from the strict conditions imposed under Article 9 GDPR on processing personal data</w:t>
      </w:r>
      <w:r>
        <w:rPr>
          <w:rFonts w:ascii="Trebuchet MS" w:hAnsi="Trebuchet MS"/>
          <w:color w:val="444444"/>
        </w:rPr>
        <w:t> related to political opinions, including profiling individuals and targeting them online based on political preferences. The Court considered this exception is not in line with the right to personal data protection as detailed by the GDPR and, thus, is breaching the Article in the Spanish Constitution that protects the right to personal data protection. See </w:t>
      </w:r>
      <w:hyperlink r:id="rId12" w:tgtFrame="_blank" w:history="1">
        <w:r>
          <w:rPr>
            <w:rStyle w:val="Hyperlink"/>
            <w:rFonts w:ascii="Trebuchet MS" w:hAnsi="Trebuchet MS"/>
          </w:rPr>
          <w:t>full text</w:t>
        </w:r>
      </w:hyperlink>
      <w:r>
        <w:rPr>
          <w:rFonts w:ascii="Trebuchet MS" w:hAnsi="Trebuchet MS"/>
          <w:color w:val="444444"/>
        </w:rPr>
        <w:t> of the judgment (ES).</w:t>
      </w:r>
    </w:p>
    <w:p w:rsidR="00431383" w:rsidRDefault="00431383" w:rsidP="00431383">
      <w:pPr>
        <w:pStyle w:val="NormalWeb"/>
        <w:spacing w:before="0" w:beforeAutospacing="0" w:after="0" w:afterAutospacing="0"/>
        <w:rPr>
          <w:rFonts w:ascii="Arial" w:hAnsi="Arial" w:cs="Arial"/>
          <w:color w:val="222222"/>
        </w:rPr>
      </w:pPr>
      <w:r>
        <w:rPr>
          <w:rFonts w:ascii="Trebuchet MS" w:hAnsi="Trebuchet MS"/>
          <w:color w:val="444444"/>
        </w:rPr>
        <w:t> </w:t>
      </w:r>
    </w:p>
    <w:p w:rsidR="00431383" w:rsidRDefault="00431383" w:rsidP="00431383">
      <w:pPr>
        <w:numPr>
          <w:ilvl w:val="0"/>
          <w:numId w:val="7"/>
        </w:numPr>
        <w:ind w:left="765"/>
        <w:textAlignment w:val="center"/>
        <w:rPr>
          <w:rFonts w:ascii="Arial" w:hAnsi="Arial" w:cs="Arial"/>
          <w:color w:val="222222"/>
        </w:rPr>
      </w:pPr>
      <w:r>
        <w:rPr>
          <w:rFonts w:ascii="Trebuchet MS" w:hAnsi="Trebuchet MS"/>
          <w:color w:val="444444"/>
        </w:rPr>
        <w:t>In a </w:t>
      </w:r>
      <w:hyperlink r:id="rId13" w:tgtFrame="_blank" w:history="1">
        <w:r>
          <w:rPr>
            <w:rStyle w:val="Hyperlink"/>
            <w:rFonts w:ascii="Trebuchet MS" w:hAnsi="Trebuchet MS"/>
          </w:rPr>
          <w:t>judgment</w:t>
        </w:r>
      </w:hyperlink>
      <w:r>
        <w:rPr>
          <w:rFonts w:ascii="Trebuchet MS" w:hAnsi="Trebuchet MS"/>
          <w:color w:val="444444"/>
        </w:rPr>
        <w:t xml:space="preserve"> (DE) on procedural matters and jurisdiction opposing </w:t>
      </w:r>
      <w:proofErr w:type="spellStart"/>
      <w:r>
        <w:rPr>
          <w:rFonts w:ascii="Trebuchet MS" w:hAnsi="Trebuchet MS"/>
          <w:color w:val="444444"/>
        </w:rPr>
        <w:t>noyb</w:t>
      </w:r>
      <w:proofErr w:type="spellEnd"/>
      <w:r>
        <w:rPr>
          <w:rFonts w:ascii="Trebuchet MS" w:hAnsi="Trebuchet MS"/>
          <w:color w:val="444444"/>
        </w:rPr>
        <w:t xml:space="preserve"> and Facebook, the Supreme Administrative Court of Austria confirmed that </w:t>
      </w:r>
      <w:r>
        <w:rPr>
          <w:rFonts w:ascii="Trebuchet MS" w:hAnsi="Trebuchet MS"/>
          <w:b/>
          <w:bCs/>
          <w:color w:val="444444"/>
        </w:rPr>
        <w:t>there is a general private right of action available to data subjects in Austria </w:t>
      </w:r>
      <w:r>
        <w:rPr>
          <w:rFonts w:ascii="Trebuchet MS" w:hAnsi="Trebuchet MS"/>
          <w:color w:val="444444"/>
        </w:rPr>
        <w:t>to sanction breaches of the GDPR regardless of whether damages are claimed or not. The argument that the Irish Data Protection Commissioner is the only authority competent to sanction breaches of the law by Facebook (as a controller that has the main establishment in Ireland) and that the private right of action can be exercised in Austrian courts only to the extent damages are claimed was rejected by the Court (see </w:t>
      </w:r>
      <w:hyperlink r:id="rId14" w:tgtFrame="_blank" w:history="1">
        <w:r>
          <w:rPr>
            <w:rStyle w:val="Hyperlink"/>
            <w:rFonts w:ascii="Trebuchet MS" w:hAnsi="Trebuchet MS"/>
          </w:rPr>
          <w:t>here</w:t>
        </w:r>
      </w:hyperlink>
      <w:r>
        <w:rPr>
          <w:rFonts w:ascii="Trebuchet MS" w:hAnsi="Trebuchet MS"/>
          <w:color w:val="444444"/>
        </w:rPr>
        <w:t> an article in English). Once jurisdictional conflicts were clarified by the court of last instance, the lawsuit alleging GDPR breaches will move forward in Austria. </w:t>
      </w:r>
    </w:p>
    <w:p w:rsidR="00431383" w:rsidRDefault="00431383" w:rsidP="00431383">
      <w:pPr>
        <w:pStyle w:val="NormalWeb"/>
        <w:spacing w:before="0" w:beforeAutospacing="0" w:after="0" w:afterAutospacing="0"/>
        <w:rPr>
          <w:rFonts w:ascii="Arial" w:hAnsi="Arial" w:cs="Arial"/>
          <w:color w:val="222222"/>
        </w:rPr>
      </w:pPr>
      <w:r>
        <w:rPr>
          <w:rFonts w:ascii="Trebuchet MS" w:hAnsi="Trebuchet MS"/>
          <w:color w:val="444444"/>
        </w:rPr>
        <w:t> </w:t>
      </w:r>
    </w:p>
    <w:p w:rsidR="00431383" w:rsidRDefault="00431383" w:rsidP="00431383">
      <w:pPr>
        <w:numPr>
          <w:ilvl w:val="0"/>
          <w:numId w:val="8"/>
        </w:numPr>
        <w:ind w:left="765"/>
        <w:textAlignment w:val="center"/>
        <w:rPr>
          <w:rFonts w:ascii="Arial" w:hAnsi="Arial" w:cs="Arial"/>
          <w:color w:val="222222"/>
        </w:rPr>
      </w:pPr>
      <w:r>
        <w:rPr>
          <w:rFonts w:ascii="Trebuchet MS" w:hAnsi="Trebuchet MS"/>
          <w:color w:val="444444"/>
        </w:rPr>
        <w:t>A Court in the Netherlands </w:t>
      </w:r>
      <w:hyperlink r:id="rId15" w:tgtFrame="_blank" w:history="1">
        <w:r>
          <w:rPr>
            <w:rStyle w:val="Hyperlink"/>
            <w:rFonts w:ascii="Trebuchet MS" w:hAnsi="Trebuchet MS"/>
          </w:rPr>
          <w:t>awarded 500€ in damages</w:t>
        </w:r>
      </w:hyperlink>
      <w:r>
        <w:rPr>
          <w:rFonts w:ascii="Trebuchet MS" w:hAnsi="Trebuchet MS"/>
          <w:color w:val="444444"/>
        </w:rPr>
        <w:t> (NL) to an individual whose personal data was shared by a local authority with other authorities as "best practice" for FOIA-type requests. The Court relied on Article 82 GDPR and the liability provision for moral damages of the Dutch Civil Code to award damages considering that the individual's personality rights have been infringed "as a consequence of the loss of control of his personal data… by making his data available without justification". See two comments on this case of Dutch privacy professionals </w:t>
      </w:r>
      <w:hyperlink r:id="rId16" w:tgtFrame="_blank" w:history="1">
        <w:r>
          <w:rPr>
            <w:rStyle w:val="Hyperlink"/>
            <w:rFonts w:ascii="Trebuchet MS" w:hAnsi="Trebuchet MS"/>
          </w:rPr>
          <w:t xml:space="preserve">Paul </w:t>
        </w:r>
        <w:proofErr w:type="spellStart"/>
        <w:r>
          <w:rPr>
            <w:rStyle w:val="Hyperlink"/>
            <w:rFonts w:ascii="Trebuchet MS" w:hAnsi="Trebuchet MS"/>
          </w:rPr>
          <w:t>Breitbarth</w:t>
        </w:r>
        <w:proofErr w:type="spellEnd"/>
      </w:hyperlink>
      <w:r>
        <w:rPr>
          <w:rFonts w:ascii="Trebuchet MS" w:hAnsi="Trebuchet MS"/>
          <w:color w:val="444444"/>
        </w:rPr>
        <w:t> and </w:t>
      </w:r>
      <w:hyperlink r:id="rId17" w:tgtFrame="_blank" w:history="1">
        <w:r>
          <w:rPr>
            <w:rStyle w:val="Hyperlink"/>
            <w:rFonts w:ascii="Trebuchet MS" w:hAnsi="Trebuchet MS"/>
          </w:rPr>
          <w:t xml:space="preserve">Jeroen </w:t>
        </w:r>
        <w:proofErr w:type="spellStart"/>
        <w:r>
          <w:rPr>
            <w:rStyle w:val="Hyperlink"/>
            <w:rFonts w:ascii="Trebuchet MS" w:hAnsi="Trebuchet MS"/>
          </w:rPr>
          <w:t>Terstegge</w:t>
        </w:r>
        <w:proofErr w:type="spellEnd"/>
      </w:hyperlink>
      <w:r>
        <w:rPr>
          <w:rFonts w:ascii="Trebuchet MS" w:hAnsi="Trebuchet MS"/>
          <w:color w:val="444444"/>
        </w:rPr>
        <w:t>.  </w:t>
      </w:r>
    </w:p>
    <w:p w:rsidR="00431383" w:rsidRDefault="00431383" w:rsidP="00431383">
      <w:pPr>
        <w:pStyle w:val="NormalWeb"/>
        <w:spacing w:before="0" w:beforeAutospacing="0" w:after="0" w:afterAutospacing="0"/>
        <w:rPr>
          <w:rFonts w:ascii="Arial" w:hAnsi="Arial" w:cs="Arial"/>
          <w:color w:val="222222"/>
        </w:rPr>
      </w:pPr>
      <w:r>
        <w:rPr>
          <w:rFonts w:ascii="Trebuchet MS" w:hAnsi="Trebuchet MS"/>
          <w:color w:val="444444"/>
        </w:rPr>
        <w:t> </w:t>
      </w:r>
    </w:p>
    <w:p w:rsidR="00431383" w:rsidRDefault="00431383" w:rsidP="00431383">
      <w:pPr>
        <w:numPr>
          <w:ilvl w:val="0"/>
          <w:numId w:val="9"/>
        </w:numPr>
        <w:ind w:left="765"/>
        <w:textAlignment w:val="center"/>
        <w:rPr>
          <w:rFonts w:ascii="Arial" w:hAnsi="Arial" w:cs="Arial"/>
          <w:color w:val="222222"/>
        </w:rPr>
      </w:pPr>
      <w:r>
        <w:rPr>
          <w:rFonts w:ascii="Trebuchet MS" w:hAnsi="Trebuchet MS"/>
          <w:color w:val="444444"/>
        </w:rPr>
        <w:t>A judge in the UK </w:t>
      </w:r>
      <w:hyperlink r:id="rId18" w:tgtFrame="_blank" w:history="1">
        <w:r>
          <w:rPr>
            <w:rStyle w:val="Hyperlink"/>
            <w:rFonts w:ascii="Trebuchet MS" w:hAnsi="Trebuchet MS"/>
          </w:rPr>
          <w:t>found</w:t>
        </w:r>
      </w:hyperlink>
      <w:r>
        <w:rPr>
          <w:rFonts w:ascii="Trebuchet MS" w:hAnsi="Trebuchet MS"/>
          <w:color w:val="444444"/>
        </w:rPr>
        <w:t> in </w:t>
      </w:r>
      <w:r>
        <w:rPr>
          <w:rFonts w:ascii="Trebuchet MS" w:hAnsi="Trebuchet MS"/>
          <w:i/>
          <w:iCs/>
          <w:color w:val="444444"/>
        </w:rPr>
        <w:t>Dawson-</w:t>
      </w:r>
      <w:proofErr w:type="spellStart"/>
      <w:r>
        <w:rPr>
          <w:rFonts w:ascii="Trebuchet MS" w:hAnsi="Trebuchet MS"/>
          <w:i/>
          <w:iCs/>
          <w:color w:val="444444"/>
        </w:rPr>
        <w:t>Damer</w:t>
      </w:r>
      <w:proofErr w:type="spellEnd"/>
      <w:r>
        <w:rPr>
          <w:rFonts w:ascii="Trebuchet MS" w:hAnsi="Trebuchet MS"/>
          <w:i/>
          <w:iCs/>
          <w:color w:val="444444"/>
        </w:rPr>
        <w:t xml:space="preserve"> v Taylor Wessing </w:t>
      </w:r>
      <w:proofErr w:type="spellStart"/>
      <w:r>
        <w:rPr>
          <w:rFonts w:ascii="Trebuchet MS" w:hAnsi="Trebuchet MS"/>
          <w:color w:val="444444"/>
        </w:rPr>
        <w:t>that</w:t>
      </w:r>
      <w:r>
        <w:rPr>
          <w:rFonts w:ascii="Trebuchet MS" w:hAnsi="Trebuchet MS"/>
          <w:b/>
          <w:bCs/>
          <w:color w:val="444444"/>
        </w:rPr>
        <w:t>a</w:t>
      </w:r>
      <w:proofErr w:type="spellEnd"/>
      <w:r>
        <w:rPr>
          <w:rFonts w:ascii="Trebuchet MS" w:hAnsi="Trebuchet MS"/>
          <w:b/>
          <w:bCs/>
          <w:color w:val="444444"/>
        </w:rPr>
        <w:t xml:space="preserve"> law firm's paper files held in chronological order are a relevant "filing </w:t>
      </w:r>
      <w:r>
        <w:rPr>
          <w:rFonts w:ascii="Trebuchet MS" w:hAnsi="Trebuchet MS"/>
          <w:b/>
          <w:bCs/>
          <w:color w:val="444444"/>
        </w:rPr>
        <w:t xml:space="preserve">system” </w:t>
      </w:r>
      <w:r>
        <w:rPr>
          <w:rFonts w:ascii="Trebuchet MS" w:hAnsi="Trebuchet MS"/>
          <w:color w:val="444444"/>
        </w:rPr>
        <w:t>in</w:t>
      </w:r>
      <w:r>
        <w:rPr>
          <w:rFonts w:ascii="Trebuchet MS" w:hAnsi="Trebuchet MS"/>
          <w:color w:val="444444"/>
        </w:rPr>
        <w:t xml:space="preserve"> the scope of data protection law if they are: (1) structured by reference to specific criteria (2) related to individual data subjects (3) the specific criteria enables the data to be easily retrieved. The judgment also clarifies that in the case of a request for access, searching a backup system would be disproportionate and would run the risk of disclosing confidential data about the law firm's clients or employees. It would also be disproportionate to search ex-</w:t>
      </w:r>
      <w:proofErr w:type="gramStart"/>
      <w:r>
        <w:rPr>
          <w:rFonts w:ascii="Trebuchet MS" w:hAnsi="Trebuchet MS"/>
          <w:color w:val="444444"/>
        </w:rPr>
        <w:t>employees</w:t>
      </w:r>
      <w:proofErr w:type="gramEnd"/>
      <w:r>
        <w:rPr>
          <w:rFonts w:ascii="Trebuchet MS" w:hAnsi="Trebuchet MS"/>
          <w:color w:val="444444"/>
        </w:rPr>
        <w:t xml:space="preserve"> personal spaces but not those of current employees. </w:t>
      </w:r>
    </w:p>
    <w:p w:rsidR="00431383" w:rsidRDefault="00431383" w:rsidP="00431383">
      <w:pPr>
        <w:pStyle w:val="NormalWeb"/>
        <w:spacing w:before="0" w:beforeAutospacing="0" w:after="0" w:afterAutospacing="0"/>
        <w:rPr>
          <w:rFonts w:ascii="Arial" w:hAnsi="Arial" w:cs="Arial"/>
          <w:color w:val="222222"/>
        </w:rPr>
      </w:pPr>
      <w:r>
        <w:rPr>
          <w:rFonts w:ascii="Trebuchet MS" w:hAnsi="Trebuchet MS"/>
          <w:color w:val="444444"/>
        </w:rPr>
        <w:t> </w:t>
      </w:r>
    </w:p>
    <w:p w:rsidR="00431383" w:rsidRDefault="00431383" w:rsidP="00431383">
      <w:pPr>
        <w:numPr>
          <w:ilvl w:val="0"/>
          <w:numId w:val="10"/>
        </w:numPr>
        <w:ind w:left="765"/>
        <w:textAlignment w:val="center"/>
        <w:rPr>
          <w:rFonts w:ascii="Arial" w:hAnsi="Arial" w:cs="Arial"/>
          <w:color w:val="222222"/>
        </w:rPr>
      </w:pPr>
      <w:r>
        <w:rPr>
          <w:rFonts w:ascii="Trebuchet MS" w:hAnsi="Trebuchet MS"/>
          <w:color w:val="444444"/>
        </w:rPr>
        <w:t xml:space="preserve">Advocate General </w:t>
      </w:r>
      <w:proofErr w:type="spellStart"/>
      <w:r>
        <w:rPr>
          <w:rFonts w:ascii="Trebuchet MS" w:hAnsi="Trebuchet MS"/>
          <w:color w:val="444444"/>
        </w:rPr>
        <w:t>Szpunar</w:t>
      </w:r>
      <w:proofErr w:type="spellEnd"/>
      <w:r>
        <w:rPr>
          <w:rFonts w:ascii="Trebuchet MS" w:hAnsi="Trebuchet MS"/>
          <w:color w:val="444444"/>
        </w:rPr>
        <w:t> </w:t>
      </w:r>
      <w:hyperlink r:id="rId19" w:tgtFrame="_blank" w:history="1">
        <w:r>
          <w:rPr>
            <w:rStyle w:val="Hyperlink"/>
            <w:rFonts w:ascii="Trebuchet MS" w:hAnsi="Trebuchet MS"/>
          </w:rPr>
          <w:t>advised the Court of Justice of the EU</w:t>
        </w:r>
      </w:hyperlink>
      <w:r>
        <w:rPr>
          <w:rFonts w:ascii="Trebuchet MS" w:hAnsi="Trebuchet MS"/>
          <w:color w:val="444444"/>
        </w:rPr>
        <w:t> (press release) to interpret the e-commerce Directive as </w:t>
      </w:r>
      <w:r>
        <w:rPr>
          <w:rFonts w:ascii="Trebuchet MS" w:hAnsi="Trebuchet MS"/>
          <w:b/>
          <w:bCs/>
          <w:color w:val="444444"/>
        </w:rPr>
        <w:t xml:space="preserve">not precluding national Courts to order a </w:t>
      </w:r>
      <w:r>
        <w:rPr>
          <w:rFonts w:ascii="Trebuchet MS" w:hAnsi="Trebuchet MS"/>
          <w:b/>
          <w:bCs/>
          <w:color w:val="444444"/>
        </w:rPr>
        <w:lastRenderedPageBreak/>
        <w:t xml:space="preserve">platform like Facebook to seek and identify all comments identical to a defamatory comment that has been found to be illegal, and equivalent comments in so far as the latter originate from the same </w:t>
      </w:r>
      <w:r>
        <w:rPr>
          <w:rFonts w:ascii="Trebuchet MS" w:hAnsi="Trebuchet MS"/>
          <w:b/>
          <w:bCs/>
          <w:color w:val="444444"/>
        </w:rPr>
        <w:t>user.</w:t>
      </w:r>
      <w:r>
        <w:rPr>
          <w:rFonts w:ascii="Trebuchet MS" w:hAnsi="Trebuchet MS"/>
          <w:color w:val="444444"/>
        </w:rPr>
        <w:t xml:space="preserve"> The</w:t>
      </w:r>
      <w:r>
        <w:rPr>
          <w:rFonts w:ascii="Trebuchet MS" w:hAnsi="Trebuchet MS"/>
          <w:color w:val="444444"/>
        </w:rPr>
        <w:t xml:space="preserve"> AG also held that the e-commerce Directive does not regulate the territorial scope of such orders and whether they can be issued worldwide. The scope of the order is thus a matter for the Austrian civil law to determine. The case concerns a member of the Austrian Green Party and her request to remove defamatory image of her from Facebook comments (see an article about the case </w:t>
      </w:r>
      <w:hyperlink r:id="rId20" w:tgtFrame="_blank" w:history="1">
        <w:r>
          <w:rPr>
            <w:rStyle w:val="Hyperlink"/>
            <w:rFonts w:ascii="Trebuchet MS" w:hAnsi="Trebuchet MS"/>
          </w:rPr>
          <w:t>here</w:t>
        </w:r>
      </w:hyperlink>
      <w:r>
        <w:rPr>
          <w:rFonts w:ascii="Trebuchet MS" w:hAnsi="Trebuchet MS"/>
          <w:color w:val="444444"/>
        </w:rPr>
        <w:t>).</w:t>
      </w:r>
    </w:p>
    <w:p w:rsidR="00431383" w:rsidRDefault="00431383" w:rsidP="00431383">
      <w:pPr>
        <w:pStyle w:val="NormalWeb"/>
        <w:spacing w:before="0" w:beforeAutospacing="0" w:after="0" w:afterAutospacing="0"/>
        <w:rPr>
          <w:rFonts w:ascii="Arial" w:hAnsi="Arial" w:cs="Arial"/>
          <w:color w:val="222222"/>
        </w:rPr>
      </w:pPr>
      <w:r>
        <w:rPr>
          <w:rFonts w:ascii="Trebuchet MS" w:hAnsi="Trebuchet MS"/>
          <w:color w:val="444444"/>
        </w:rPr>
        <w:t> </w:t>
      </w:r>
    </w:p>
    <w:p w:rsidR="00431383" w:rsidRDefault="00431383" w:rsidP="00431383">
      <w:pPr>
        <w:pStyle w:val="NormalWeb"/>
        <w:spacing w:before="0" w:beforeAutospacing="0" w:after="0" w:afterAutospacing="0"/>
        <w:rPr>
          <w:rFonts w:ascii="Arial" w:hAnsi="Arial" w:cs="Arial"/>
          <w:color w:val="222222"/>
        </w:rPr>
      </w:pPr>
      <w:r>
        <w:rPr>
          <w:rFonts w:ascii="Trebuchet MS" w:hAnsi="Trebuchet MS"/>
          <w:b/>
          <w:bCs/>
          <w:color w:val="444444"/>
        </w:rPr>
        <w:t>Guidelines</w:t>
      </w:r>
    </w:p>
    <w:p w:rsidR="00431383" w:rsidRDefault="00431383" w:rsidP="00431383">
      <w:pPr>
        <w:pStyle w:val="NormalWeb"/>
        <w:spacing w:before="0" w:beforeAutospacing="0" w:after="0" w:afterAutospacing="0"/>
        <w:rPr>
          <w:rFonts w:ascii="Arial" w:hAnsi="Arial" w:cs="Arial"/>
          <w:color w:val="222222"/>
        </w:rPr>
      </w:pPr>
      <w:r>
        <w:rPr>
          <w:rFonts w:ascii="Trebuchet MS" w:hAnsi="Trebuchet MS"/>
          <w:color w:val="444444"/>
        </w:rPr>
        <w:t> </w:t>
      </w:r>
    </w:p>
    <w:p w:rsidR="00431383" w:rsidRDefault="00431383" w:rsidP="00431383">
      <w:pPr>
        <w:numPr>
          <w:ilvl w:val="0"/>
          <w:numId w:val="11"/>
        </w:numPr>
        <w:ind w:left="765"/>
        <w:textAlignment w:val="center"/>
        <w:rPr>
          <w:rFonts w:ascii="Arial" w:hAnsi="Arial" w:cs="Arial"/>
          <w:color w:val="222222"/>
        </w:rPr>
      </w:pPr>
      <w:r>
        <w:rPr>
          <w:rFonts w:ascii="Trebuchet MS" w:hAnsi="Trebuchet MS"/>
          <w:color w:val="444444"/>
        </w:rPr>
        <w:t>The EDPB published the final version of the following guidelines:</w:t>
      </w:r>
    </w:p>
    <w:p w:rsidR="00431383" w:rsidRDefault="00431383" w:rsidP="00431383">
      <w:pPr>
        <w:numPr>
          <w:ilvl w:val="1"/>
          <w:numId w:val="12"/>
        </w:numPr>
        <w:ind w:left="1485"/>
        <w:textAlignment w:val="center"/>
        <w:rPr>
          <w:rFonts w:ascii="Arial" w:hAnsi="Arial" w:cs="Arial"/>
          <w:color w:val="222222"/>
        </w:rPr>
      </w:pPr>
      <w:hyperlink r:id="rId21" w:tgtFrame="_blank" w:history="1">
        <w:r>
          <w:rPr>
            <w:rStyle w:val="Hyperlink"/>
            <w:rFonts w:ascii="Trebuchet MS" w:hAnsi="Trebuchet MS"/>
          </w:rPr>
          <w:t>The accreditation of certification bodies</w:t>
        </w:r>
      </w:hyperlink>
      <w:r>
        <w:rPr>
          <w:rFonts w:ascii="Trebuchet MS" w:hAnsi="Trebuchet MS"/>
          <w:color w:val="444444"/>
        </w:rPr>
        <w:t>;</w:t>
      </w:r>
    </w:p>
    <w:p w:rsidR="00431383" w:rsidRDefault="00431383" w:rsidP="00431383">
      <w:pPr>
        <w:numPr>
          <w:ilvl w:val="1"/>
          <w:numId w:val="12"/>
        </w:numPr>
        <w:ind w:left="1485"/>
        <w:textAlignment w:val="center"/>
        <w:rPr>
          <w:rFonts w:ascii="Arial" w:hAnsi="Arial" w:cs="Arial"/>
          <w:color w:val="222222"/>
        </w:rPr>
      </w:pPr>
      <w:hyperlink r:id="rId22" w:tgtFrame="_blank" w:history="1">
        <w:r>
          <w:rPr>
            <w:rStyle w:val="Hyperlink"/>
            <w:rFonts w:ascii="Trebuchet MS" w:hAnsi="Trebuchet MS"/>
          </w:rPr>
          <w:t>Codes of Conduct and monitoring bodies</w:t>
        </w:r>
      </w:hyperlink>
      <w:r>
        <w:rPr>
          <w:rFonts w:ascii="Trebuchet MS" w:hAnsi="Trebuchet MS"/>
          <w:color w:val="444444"/>
        </w:rPr>
        <w:t>.</w:t>
      </w:r>
    </w:p>
    <w:p w:rsidR="00431383" w:rsidRDefault="00431383" w:rsidP="00431383">
      <w:pPr>
        <w:pStyle w:val="NormalWeb"/>
        <w:spacing w:before="0" w:beforeAutospacing="0" w:after="0" w:afterAutospacing="0"/>
        <w:rPr>
          <w:rFonts w:ascii="Arial" w:hAnsi="Arial" w:cs="Arial"/>
          <w:color w:val="222222"/>
        </w:rPr>
      </w:pPr>
      <w:r>
        <w:rPr>
          <w:rFonts w:ascii="Trebuchet MS" w:hAnsi="Trebuchet MS"/>
          <w:color w:val="444444"/>
        </w:rPr>
        <w:t> </w:t>
      </w:r>
    </w:p>
    <w:p w:rsidR="00431383" w:rsidRDefault="00431383" w:rsidP="00431383">
      <w:pPr>
        <w:numPr>
          <w:ilvl w:val="0"/>
          <w:numId w:val="13"/>
        </w:numPr>
        <w:ind w:left="765"/>
        <w:textAlignment w:val="center"/>
        <w:rPr>
          <w:rFonts w:ascii="Arial" w:hAnsi="Arial" w:cs="Arial"/>
          <w:color w:val="222222"/>
        </w:rPr>
      </w:pPr>
      <w:r>
        <w:rPr>
          <w:rFonts w:ascii="Trebuchet MS" w:hAnsi="Trebuchet MS"/>
          <w:color w:val="444444"/>
        </w:rPr>
        <w:t>The ICO </w:t>
      </w:r>
      <w:hyperlink r:id="rId23" w:tgtFrame="_blank" w:history="1">
        <w:r>
          <w:rPr>
            <w:rStyle w:val="Hyperlink"/>
            <w:rFonts w:ascii="Trebuchet MS" w:hAnsi="Trebuchet MS"/>
          </w:rPr>
          <w:t>updated its guidance on controllers and processors with a checklist</w:t>
        </w:r>
      </w:hyperlink>
      <w:r>
        <w:rPr>
          <w:rFonts w:ascii="Trebuchet MS" w:hAnsi="Trebuchet MS"/>
          <w:color w:val="444444"/>
        </w:rPr>
        <w:t> that is meant to help organizations identify their role.</w:t>
      </w:r>
    </w:p>
    <w:p w:rsidR="00431383" w:rsidRDefault="00431383" w:rsidP="00431383"/>
    <w:p w:rsidR="00431383" w:rsidRDefault="00431383" w:rsidP="00431383">
      <w:pPr>
        <w:numPr>
          <w:ilvl w:val="0"/>
          <w:numId w:val="14"/>
        </w:numPr>
        <w:ind w:left="765"/>
        <w:textAlignment w:val="center"/>
      </w:pPr>
      <w:r>
        <w:rPr>
          <w:rFonts w:ascii="Trebuchet MS" w:hAnsi="Trebuchet MS"/>
          <w:color w:val="444444"/>
        </w:rPr>
        <w:t>Spanish DPA published technical recommendations for anonymizing personal data. The objective of the guidance is to show the limits of the effectiveness of anonymization techniques up to the point the information is truly anonymized and how could the reidentification risk be managed. (</w:t>
      </w:r>
      <w:hyperlink r:id="rId24" w:tgtFrame="_blank" w:history="1">
        <w:r>
          <w:rPr>
            <w:rStyle w:val="Hyperlink"/>
            <w:rFonts w:ascii="Trebuchet MS" w:hAnsi="Trebuchet MS"/>
          </w:rPr>
          <w:t>Press Release</w:t>
        </w:r>
      </w:hyperlink>
      <w:r>
        <w:rPr>
          <w:rFonts w:ascii="Trebuchet MS" w:hAnsi="Trebuchet MS"/>
          <w:color w:val="444444"/>
        </w:rPr>
        <w:t> and </w:t>
      </w:r>
      <w:hyperlink r:id="rId25" w:tgtFrame="_blank" w:history="1">
        <w:r>
          <w:rPr>
            <w:rStyle w:val="Hyperlink"/>
            <w:rFonts w:ascii="Trebuchet MS" w:hAnsi="Trebuchet MS"/>
          </w:rPr>
          <w:t>Report</w:t>
        </w:r>
      </w:hyperlink>
      <w:r>
        <w:rPr>
          <w:rFonts w:ascii="Trebuchet MS" w:hAnsi="Trebuchet MS"/>
          <w:color w:val="444444"/>
        </w:rPr>
        <w:t>, both ES).</w:t>
      </w:r>
    </w:p>
    <w:p w:rsidR="00431383" w:rsidRDefault="00431383" w:rsidP="00431383">
      <w:pPr>
        <w:pStyle w:val="NormalWeb"/>
        <w:spacing w:before="0" w:beforeAutospacing="0" w:after="0" w:afterAutospacing="0"/>
        <w:rPr>
          <w:rFonts w:ascii="Arial" w:hAnsi="Arial" w:cs="Arial"/>
          <w:color w:val="222222"/>
        </w:rPr>
      </w:pPr>
      <w:r>
        <w:rPr>
          <w:rFonts w:ascii="Trebuchet MS" w:hAnsi="Trebuchet MS"/>
          <w:color w:val="444444"/>
        </w:rPr>
        <w:t> </w:t>
      </w:r>
    </w:p>
    <w:p w:rsidR="00431383" w:rsidRDefault="00431383" w:rsidP="00431383">
      <w:pPr>
        <w:numPr>
          <w:ilvl w:val="0"/>
          <w:numId w:val="15"/>
        </w:numPr>
        <w:ind w:left="765"/>
        <w:textAlignment w:val="center"/>
        <w:rPr>
          <w:rFonts w:ascii="Arial" w:hAnsi="Arial" w:cs="Arial"/>
          <w:color w:val="222222"/>
        </w:rPr>
      </w:pPr>
      <w:r>
        <w:rPr>
          <w:rFonts w:ascii="Trebuchet MS" w:hAnsi="Trebuchet MS"/>
          <w:color w:val="444444"/>
        </w:rPr>
        <w:t>The Irish DPC published </w:t>
      </w:r>
      <w:hyperlink r:id="rId26" w:tgtFrame="_blank" w:history="1">
        <w:r>
          <w:rPr>
            <w:rStyle w:val="Hyperlink"/>
            <w:rFonts w:ascii="Trebuchet MS" w:hAnsi="Trebuchet MS"/>
          </w:rPr>
          <w:t>guidance</w:t>
        </w:r>
      </w:hyperlink>
      <w:r>
        <w:rPr>
          <w:rFonts w:ascii="Trebuchet MS" w:hAnsi="Trebuchet MS"/>
          <w:color w:val="444444"/>
        </w:rPr>
        <w:t> on the use of CCTV by data controllers.</w:t>
      </w:r>
    </w:p>
    <w:p w:rsidR="00431383" w:rsidRDefault="00431383" w:rsidP="00431383">
      <w:pPr>
        <w:pStyle w:val="NormalWeb"/>
        <w:spacing w:before="0" w:beforeAutospacing="0" w:after="0" w:afterAutospacing="0"/>
        <w:rPr>
          <w:rFonts w:ascii="Arial" w:hAnsi="Arial" w:cs="Arial"/>
          <w:color w:val="222222"/>
        </w:rPr>
      </w:pPr>
      <w:r>
        <w:rPr>
          <w:rFonts w:ascii="Trebuchet MS" w:hAnsi="Trebuchet MS"/>
          <w:color w:val="444444"/>
        </w:rPr>
        <w:t> </w:t>
      </w:r>
    </w:p>
    <w:p w:rsidR="00431383" w:rsidRDefault="00431383" w:rsidP="00431383">
      <w:pPr>
        <w:numPr>
          <w:ilvl w:val="0"/>
          <w:numId w:val="16"/>
        </w:numPr>
        <w:ind w:left="765"/>
        <w:textAlignment w:val="center"/>
        <w:rPr>
          <w:rFonts w:ascii="Arial" w:hAnsi="Arial" w:cs="Arial"/>
          <w:color w:val="222222"/>
        </w:rPr>
      </w:pPr>
      <w:r>
        <w:rPr>
          <w:rFonts w:ascii="Trebuchet MS" w:hAnsi="Trebuchet MS"/>
          <w:color w:val="444444"/>
        </w:rPr>
        <w:t>The Spanish DPA published </w:t>
      </w:r>
      <w:hyperlink r:id="rId27" w:tgtFrame="_blank" w:history="1">
        <w:r>
          <w:rPr>
            <w:rStyle w:val="Hyperlink"/>
            <w:rFonts w:ascii="Trebuchet MS" w:hAnsi="Trebuchet MS"/>
          </w:rPr>
          <w:t>a guide</w:t>
        </w:r>
      </w:hyperlink>
      <w:r>
        <w:rPr>
          <w:rFonts w:ascii="Trebuchet MS" w:hAnsi="Trebuchet MS"/>
          <w:color w:val="444444"/>
        </w:rPr>
        <w:t> on data protection and the use of drones. </w:t>
      </w:r>
    </w:p>
    <w:p w:rsidR="00431383" w:rsidRDefault="00431383" w:rsidP="00431383">
      <w:pPr>
        <w:pStyle w:val="NormalWeb"/>
        <w:spacing w:before="0" w:beforeAutospacing="0" w:after="0" w:afterAutospacing="0"/>
        <w:rPr>
          <w:rFonts w:ascii="Arial" w:hAnsi="Arial" w:cs="Arial"/>
          <w:color w:val="222222"/>
        </w:rPr>
      </w:pPr>
      <w:r>
        <w:rPr>
          <w:rFonts w:ascii="Trebuchet MS" w:hAnsi="Trebuchet MS"/>
          <w:color w:val="444444"/>
        </w:rPr>
        <w:t> </w:t>
      </w:r>
    </w:p>
    <w:p w:rsidR="00431383" w:rsidRDefault="00431383" w:rsidP="00431383">
      <w:pPr>
        <w:numPr>
          <w:ilvl w:val="0"/>
          <w:numId w:val="17"/>
        </w:numPr>
        <w:ind w:left="765"/>
        <w:textAlignment w:val="center"/>
        <w:rPr>
          <w:rFonts w:ascii="Arial" w:hAnsi="Arial" w:cs="Arial"/>
          <w:color w:val="222222"/>
        </w:rPr>
      </w:pPr>
      <w:r>
        <w:rPr>
          <w:rFonts w:ascii="Trebuchet MS" w:hAnsi="Trebuchet MS"/>
          <w:b/>
          <w:bCs/>
          <w:color w:val="444444"/>
        </w:rPr>
        <w:t>The European Commission published </w:t>
      </w:r>
      <w:hyperlink r:id="rId28" w:tgtFrame="_blank" w:history="1">
        <w:r>
          <w:rPr>
            <w:rStyle w:val="Hyperlink"/>
            <w:rFonts w:ascii="Trebuchet MS" w:hAnsi="Trebuchet MS"/>
            <w:b/>
            <w:bCs/>
          </w:rPr>
          <w:t>guidance</w:t>
        </w:r>
      </w:hyperlink>
      <w:r>
        <w:rPr>
          <w:rFonts w:ascii="Trebuchet MS" w:hAnsi="Trebuchet MS"/>
          <w:b/>
          <w:bCs/>
          <w:color w:val="444444"/>
        </w:rPr>
        <w:t> on the meaning of "non-personal data" for the purpose of clarifying how the GDPR and the new Regulation on Free Flow of Non-Personal Data interact</w:t>
      </w:r>
      <w:r>
        <w:rPr>
          <w:rFonts w:ascii="Trebuchet MS" w:hAnsi="Trebuchet MS"/>
          <w:color w:val="444444"/>
        </w:rPr>
        <w:t>. The Commission states that any data which does not fall under the definition of "personal data" in the GDPR is "non-personal data". This type of data can be categorized depending on its source: (1) data which originally did not relate to an identified or identifiable individual, such as data on weather conditions generated by sensors of wind turbines, and (2) data that was originally personal data but that has been anonymized to the point that it "cannot be attributed to a specific person". For example, non-personal data can be "data which are aggregated to the extent that individual events, such as a person's individual trips abroad or travel patterns which could constitute personal data are no longer identifiable". </w:t>
      </w:r>
    </w:p>
    <w:p w:rsidR="00431383" w:rsidRDefault="00431383" w:rsidP="00431383">
      <w:pPr>
        <w:pStyle w:val="NormalWeb"/>
        <w:spacing w:before="0" w:beforeAutospacing="0" w:after="0" w:afterAutospacing="0"/>
        <w:rPr>
          <w:rFonts w:ascii="Arial" w:hAnsi="Arial" w:cs="Arial"/>
          <w:color w:val="222222"/>
        </w:rPr>
      </w:pPr>
      <w:r>
        <w:rPr>
          <w:rFonts w:ascii="Trebuchet MS" w:hAnsi="Trebuchet MS"/>
          <w:color w:val="444444"/>
        </w:rPr>
        <w:t> </w:t>
      </w:r>
    </w:p>
    <w:p w:rsidR="00431383" w:rsidRDefault="00431383" w:rsidP="00431383">
      <w:pPr>
        <w:pStyle w:val="NormalWeb"/>
        <w:spacing w:before="0" w:beforeAutospacing="0" w:after="0" w:afterAutospacing="0"/>
        <w:rPr>
          <w:rFonts w:ascii="Arial" w:hAnsi="Arial" w:cs="Arial"/>
          <w:color w:val="222222"/>
        </w:rPr>
      </w:pPr>
      <w:r>
        <w:rPr>
          <w:rFonts w:ascii="Trebuchet MS" w:hAnsi="Trebuchet MS"/>
          <w:b/>
          <w:bCs/>
          <w:color w:val="444444"/>
        </w:rPr>
        <w:t>EU elections</w:t>
      </w:r>
    </w:p>
    <w:p w:rsidR="00431383" w:rsidRDefault="00431383" w:rsidP="00431383">
      <w:pPr>
        <w:pStyle w:val="NormalWeb"/>
        <w:spacing w:before="0" w:beforeAutospacing="0" w:after="0" w:afterAutospacing="0"/>
        <w:rPr>
          <w:rFonts w:ascii="Arial" w:hAnsi="Arial" w:cs="Arial"/>
          <w:color w:val="222222"/>
        </w:rPr>
      </w:pPr>
      <w:r>
        <w:rPr>
          <w:rFonts w:ascii="Trebuchet MS" w:hAnsi="Trebuchet MS"/>
          <w:color w:val="444444"/>
        </w:rPr>
        <w:t> </w:t>
      </w:r>
    </w:p>
    <w:p w:rsidR="00431383" w:rsidRDefault="00431383" w:rsidP="00431383">
      <w:pPr>
        <w:numPr>
          <w:ilvl w:val="0"/>
          <w:numId w:val="18"/>
        </w:numPr>
        <w:ind w:left="765"/>
        <w:textAlignment w:val="center"/>
        <w:rPr>
          <w:rFonts w:ascii="Arial" w:hAnsi="Arial" w:cs="Arial"/>
          <w:color w:val="222222"/>
        </w:rPr>
      </w:pPr>
      <w:r>
        <w:rPr>
          <w:rFonts w:ascii="Trebuchet MS" w:hAnsi="Trebuchet MS"/>
          <w:color w:val="444444"/>
        </w:rPr>
        <w:t>At the end of May, Europeans were called to vote for the new European Parliament. Here is an </w:t>
      </w:r>
      <w:hyperlink r:id="rId29" w:tgtFrame="_blank" w:history="1">
        <w:r>
          <w:rPr>
            <w:rStyle w:val="Hyperlink"/>
            <w:rFonts w:ascii="Trebuchet MS" w:hAnsi="Trebuchet MS"/>
          </w:rPr>
          <w:t>in depth analysis</w:t>
        </w:r>
      </w:hyperlink>
      <w:r>
        <w:rPr>
          <w:rFonts w:ascii="Trebuchet MS" w:hAnsi="Trebuchet MS"/>
          <w:color w:val="444444"/>
        </w:rPr>
        <w:t> of the results. The new EP will be tasked to appoint the new Commission, while the European Council/the Council of Ministers will remain unchanged since it reunites the governments of the Member States. Things to watch in the near future relevant for digital/tech policy and data protection: who will become the President of the European Commission (Margrethe Vestager is among the candidates being considered), and who will take over the Justice portfolio from Vera Jourova and the Competition portfolio from Vestager.</w:t>
      </w:r>
    </w:p>
    <w:p w:rsidR="00431383" w:rsidRDefault="00431383" w:rsidP="00431383">
      <w:pPr>
        <w:pStyle w:val="NormalWeb"/>
        <w:spacing w:before="0" w:beforeAutospacing="0" w:after="0" w:afterAutospacing="0"/>
        <w:rPr>
          <w:rFonts w:ascii="Arial" w:hAnsi="Arial" w:cs="Arial"/>
          <w:color w:val="222222"/>
        </w:rPr>
      </w:pPr>
      <w:r>
        <w:rPr>
          <w:rFonts w:ascii="Trebuchet MS" w:hAnsi="Trebuchet MS"/>
          <w:color w:val="444444"/>
        </w:rPr>
        <w:lastRenderedPageBreak/>
        <w:t> </w:t>
      </w:r>
    </w:p>
    <w:p w:rsidR="00431383" w:rsidRDefault="00431383" w:rsidP="00431383">
      <w:pPr>
        <w:numPr>
          <w:ilvl w:val="0"/>
          <w:numId w:val="19"/>
        </w:numPr>
        <w:ind w:left="765"/>
        <w:textAlignment w:val="center"/>
        <w:rPr>
          <w:rFonts w:ascii="Arial" w:hAnsi="Arial" w:cs="Arial"/>
          <w:color w:val="222222"/>
        </w:rPr>
      </w:pPr>
      <w:r>
        <w:rPr>
          <w:rFonts w:ascii="Trebuchet MS" w:hAnsi="Trebuchet MS"/>
          <w:color w:val="444444"/>
        </w:rPr>
        <w:t>Patrick Breyer </w:t>
      </w:r>
      <w:hyperlink r:id="rId30" w:tgtFrame="_blank" w:history="1">
        <w:r>
          <w:rPr>
            <w:rStyle w:val="Hyperlink"/>
            <w:rFonts w:ascii="Trebuchet MS" w:hAnsi="Trebuchet MS"/>
          </w:rPr>
          <w:t>won a seat in the new European Parliament</w:t>
        </w:r>
      </w:hyperlink>
      <w:r>
        <w:rPr>
          <w:rFonts w:ascii="Trebuchet MS" w:hAnsi="Trebuchet MS"/>
          <w:color w:val="444444"/>
        </w:rPr>
        <w:t>, representing the German Pirate Party. If the name sounds familiar, that is because he is the plaintiff behind the authoritative judgment of the CJEU in </w:t>
      </w:r>
      <w:r>
        <w:rPr>
          <w:rFonts w:ascii="Trebuchet MS" w:hAnsi="Trebuchet MS"/>
          <w:i/>
          <w:iCs/>
          <w:color w:val="444444"/>
        </w:rPr>
        <w:t>Breyer, </w:t>
      </w:r>
      <w:r>
        <w:rPr>
          <w:rFonts w:ascii="Trebuchet MS" w:hAnsi="Trebuchet MS"/>
          <w:color w:val="444444"/>
        </w:rPr>
        <w:t>which interprets the definition of personal data as covering dynamic IP addresses whenever the law does not prohibit matching data sets with the help of the ISPs to identify the holder of the IP address. </w:t>
      </w:r>
    </w:p>
    <w:p w:rsidR="00431383" w:rsidRDefault="00431383" w:rsidP="00431383">
      <w:pPr>
        <w:pStyle w:val="NormalWeb"/>
        <w:spacing w:before="0" w:beforeAutospacing="0" w:after="0" w:afterAutospacing="0"/>
        <w:rPr>
          <w:rFonts w:ascii="Arial" w:hAnsi="Arial" w:cs="Arial"/>
          <w:color w:val="222222"/>
        </w:rPr>
      </w:pPr>
      <w:r>
        <w:rPr>
          <w:rFonts w:ascii="Trebuchet MS" w:hAnsi="Trebuchet MS"/>
          <w:color w:val="444444"/>
        </w:rPr>
        <w:t> </w:t>
      </w:r>
    </w:p>
    <w:p w:rsidR="00431383" w:rsidRDefault="00431383" w:rsidP="00431383">
      <w:pPr>
        <w:numPr>
          <w:ilvl w:val="0"/>
          <w:numId w:val="20"/>
        </w:numPr>
        <w:ind w:left="765"/>
        <w:textAlignment w:val="center"/>
        <w:rPr>
          <w:rFonts w:ascii="Arial" w:hAnsi="Arial" w:cs="Arial"/>
          <w:color w:val="222222"/>
        </w:rPr>
      </w:pPr>
      <w:r>
        <w:rPr>
          <w:rFonts w:ascii="Trebuchet MS" w:hAnsi="Trebuchet MS"/>
          <w:color w:val="444444"/>
        </w:rPr>
        <w:t xml:space="preserve">The Rapporteur of the </w:t>
      </w:r>
      <w:proofErr w:type="spellStart"/>
      <w:r>
        <w:rPr>
          <w:rFonts w:ascii="Trebuchet MS" w:hAnsi="Trebuchet MS"/>
          <w:color w:val="444444"/>
        </w:rPr>
        <w:t>ePrivacy</w:t>
      </w:r>
      <w:proofErr w:type="spellEnd"/>
      <w:r>
        <w:rPr>
          <w:rFonts w:ascii="Trebuchet MS" w:hAnsi="Trebuchet MS"/>
          <w:color w:val="444444"/>
        </w:rPr>
        <w:t xml:space="preserve"> Regulation, Birgit </w:t>
      </w:r>
      <w:proofErr w:type="spellStart"/>
      <w:r>
        <w:rPr>
          <w:rFonts w:ascii="Trebuchet MS" w:hAnsi="Trebuchet MS"/>
          <w:color w:val="444444"/>
        </w:rPr>
        <w:t>Sippel</w:t>
      </w:r>
      <w:proofErr w:type="spellEnd"/>
      <w:r>
        <w:rPr>
          <w:rFonts w:ascii="Trebuchet MS" w:hAnsi="Trebuchet MS"/>
          <w:color w:val="444444"/>
        </w:rPr>
        <w:t>, </w:t>
      </w:r>
      <w:hyperlink r:id="rId31" w:tgtFrame="_blank" w:history="1">
        <w:r>
          <w:rPr>
            <w:rStyle w:val="Hyperlink"/>
            <w:rFonts w:ascii="Trebuchet MS" w:hAnsi="Trebuchet MS"/>
          </w:rPr>
          <w:t>won a new seat</w:t>
        </w:r>
      </w:hyperlink>
      <w:r>
        <w:rPr>
          <w:rFonts w:ascii="Trebuchet MS" w:hAnsi="Trebuchet MS"/>
          <w:color w:val="444444"/>
        </w:rPr>
        <w:t> in the European Parliament, which means she will likely maintain the file and participate to the trialogue negotiating for the Parliament's position.</w:t>
      </w:r>
    </w:p>
    <w:p w:rsidR="00431383" w:rsidRDefault="00431383" w:rsidP="00431383">
      <w:pPr>
        <w:pStyle w:val="NormalWeb"/>
        <w:spacing w:before="0" w:beforeAutospacing="0" w:after="0" w:afterAutospacing="0"/>
        <w:rPr>
          <w:rFonts w:ascii="Arial" w:hAnsi="Arial" w:cs="Arial"/>
          <w:color w:val="222222"/>
        </w:rPr>
      </w:pPr>
      <w:r>
        <w:rPr>
          <w:rFonts w:ascii="Trebuchet MS" w:hAnsi="Trebuchet MS"/>
          <w:color w:val="444444"/>
        </w:rPr>
        <w:t> </w:t>
      </w:r>
    </w:p>
    <w:p w:rsidR="00431383" w:rsidRDefault="00431383" w:rsidP="00431383">
      <w:pPr>
        <w:pStyle w:val="NormalWeb"/>
        <w:spacing w:before="0" w:beforeAutospacing="0" w:after="0" w:afterAutospacing="0"/>
        <w:rPr>
          <w:rFonts w:ascii="Arial" w:hAnsi="Arial" w:cs="Arial"/>
          <w:color w:val="222222"/>
        </w:rPr>
      </w:pPr>
      <w:r>
        <w:rPr>
          <w:rFonts w:ascii="Trebuchet MS" w:hAnsi="Trebuchet MS"/>
          <w:b/>
          <w:bCs/>
          <w:color w:val="444444"/>
        </w:rPr>
        <w:t>AI/Machine Learning</w:t>
      </w:r>
    </w:p>
    <w:p w:rsidR="00431383" w:rsidRDefault="00431383" w:rsidP="00431383">
      <w:pPr>
        <w:pStyle w:val="NormalWeb"/>
        <w:spacing w:before="0" w:beforeAutospacing="0" w:after="0" w:afterAutospacing="0"/>
        <w:rPr>
          <w:rFonts w:ascii="Arial" w:hAnsi="Arial" w:cs="Arial"/>
          <w:color w:val="222222"/>
        </w:rPr>
      </w:pPr>
      <w:r>
        <w:rPr>
          <w:rFonts w:ascii="Trebuchet MS" w:hAnsi="Trebuchet MS"/>
          <w:color w:val="444444"/>
        </w:rPr>
        <w:t> </w:t>
      </w:r>
    </w:p>
    <w:p w:rsidR="00431383" w:rsidRDefault="00431383" w:rsidP="00431383">
      <w:pPr>
        <w:numPr>
          <w:ilvl w:val="0"/>
          <w:numId w:val="21"/>
        </w:numPr>
        <w:ind w:left="765"/>
        <w:textAlignment w:val="center"/>
        <w:rPr>
          <w:rFonts w:ascii="Arial" w:hAnsi="Arial" w:cs="Arial"/>
          <w:color w:val="222222"/>
        </w:rPr>
      </w:pPr>
      <w:r>
        <w:rPr>
          <w:rFonts w:ascii="Trebuchet MS" w:hAnsi="Trebuchet MS"/>
          <w:color w:val="444444"/>
        </w:rPr>
        <w:t>The EU Fundamental Rights Agency published a </w:t>
      </w:r>
      <w:hyperlink r:id="rId32" w:tgtFrame="_blank" w:history="1">
        <w:r>
          <w:rPr>
            <w:rStyle w:val="Hyperlink"/>
            <w:rFonts w:ascii="Trebuchet MS" w:hAnsi="Trebuchet MS"/>
          </w:rPr>
          <w:t>focus paper</w:t>
        </w:r>
      </w:hyperlink>
      <w:r>
        <w:rPr>
          <w:rFonts w:ascii="Trebuchet MS" w:hAnsi="Trebuchet MS"/>
          <w:color w:val="444444"/>
        </w:rPr>
        <w:t> on </w:t>
      </w:r>
      <w:r>
        <w:rPr>
          <w:rFonts w:ascii="Trebuchet MS" w:hAnsi="Trebuchet MS"/>
          <w:b/>
          <w:bCs/>
          <w:color w:val="444444"/>
        </w:rPr>
        <w:t>"Data quality and Artificial Intelligence - mitigating bias and error to protect fundamental rights"</w:t>
      </w:r>
      <w:r>
        <w:rPr>
          <w:rFonts w:ascii="Trebuchet MS" w:hAnsi="Trebuchet MS"/>
          <w:color w:val="444444"/>
        </w:rPr>
        <w:t>. The Future of Privacy Forum's </w:t>
      </w:r>
      <w:hyperlink r:id="rId33" w:tgtFrame="_blank" w:history="1">
        <w:r>
          <w:rPr>
            <w:rStyle w:val="Hyperlink"/>
            <w:rFonts w:ascii="Trebuchet MS" w:hAnsi="Trebuchet MS"/>
          </w:rPr>
          <w:t>work</w:t>
        </w:r>
      </w:hyperlink>
      <w:r>
        <w:rPr>
          <w:rFonts w:ascii="Trebuchet MS" w:hAnsi="Trebuchet MS"/>
          <w:color w:val="444444"/>
        </w:rPr>
        <w:t> on Artificial Intelligence is featured among the resources relied upon for the paper. </w:t>
      </w:r>
    </w:p>
    <w:p w:rsidR="00431383" w:rsidRDefault="00431383" w:rsidP="00431383">
      <w:pPr>
        <w:pStyle w:val="NormalWeb"/>
        <w:spacing w:before="0" w:beforeAutospacing="0" w:after="0" w:afterAutospacing="0"/>
        <w:rPr>
          <w:rFonts w:ascii="Arial" w:hAnsi="Arial" w:cs="Arial"/>
          <w:color w:val="222222"/>
        </w:rPr>
      </w:pPr>
      <w:r>
        <w:rPr>
          <w:rFonts w:ascii="Trebuchet MS" w:hAnsi="Trebuchet MS"/>
          <w:color w:val="444444"/>
        </w:rPr>
        <w:t> </w:t>
      </w:r>
    </w:p>
    <w:p w:rsidR="00431383" w:rsidRDefault="00431383" w:rsidP="00431383">
      <w:pPr>
        <w:numPr>
          <w:ilvl w:val="0"/>
          <w:numId w:val="22"/>
        </w:numPr>
        <w:ind w:left="765"/>
        <w:textAlignment w:val="center"/>
        <w:rPr>
          <w:rFonts w:ascii="Arial" w:hAnsi="Arial" w:cs="Arial"/>
          <w:color w:val="222222"/>
        </w:rPr>
      </w:pPr>
      <w:r>
        <w:rPr>
          <w:rFonts w:ascii="Trebuchet MS" w:hAnsi="Trebuchet MS"/>
          <w:color w:val="444444"/>
        </w:rPr>
        <w:t>The ICO and the Alan Turing Institute in the UK published their </w:t>
      </w:r>
      <w:hyperlink r:id="rId34" w:tgtFrame="_blank" w:history="1">
        <w:r>
          <w:rPr>
            <w:rStyle w:val="Hyperlink"/>
            <w:rFonts w:ascii="Trebuchet MS" w:hAnsi="Trebuchet MS"/>
          </w:rPr>
          <w:t>interim report</w:t>
        </w:r>
      </w:hyperlink>
      <w:r>
        <w:rPr>
          <w:rFonts w:ascii="Trebuchet MS" w:hAnsi="Trebuchet MS"/>
          <w:color w:val="444444"/>
        </w:rPr>
        <w:t xml:space="preserve"> about </w:t>
      </w:r>
      <w:proofErr w:type="spellStart"/>
      <w:r>
        <w:rPr>
          <w:rFonts w:ascii="Trebuchet MS" w:hAnsi="Trebuchet MS"/>
          <w:color w:val="444444"/>
        </w:rPr>
        <w:t>explainability</w:t>
      </w:r>
      <w:proofErr w:type="spellEnd"/>
      <w:r>
        <w:rPr>
          <w:rFonts w:ascii="Trebuchet MS" w:hAnsi="Trebuchet MS"/>
          <w:color w:val="444444"/>
        </w:rPr>
        <w:t xml:space="preserve"> of AI, called "Project </w:t>
      </w:r>
      <w:r>
        <w:rPr>
          <w:rFonts w:ascii="Trebuchet MS" w:hAnsi="Trebuchet MS"/>
          <w:color w:val="444444"/>
        </w:rPr>
        <w:t>explain</w:t>
      </w:r>
      <w:r>
        <w:rPr>
          <w:rFonts w:ascii="Trebuchet MS" w:hAnsi="Trebuchet MS"/>
          <w:color w:val="444444"/>
        </w:rPr>
        <w:t>". Their research </w:t>
      </w:r>
      <w:hyperlink r:id="rId35" w:tgtFrame="_blank" w:history="1">
        <w:r>
          <w:rPr>
            <w:rStyle w:val="Hyperlink"/>
            <w:rFonts w:ascii="Trebuchet MS" w:hAnsi="Trebuchet MS"/>
          </w:rPr>
          <w:t>showed that context is key</w:t>
        </w:r>
      </w:hyperlink>
      <w:r>
        <w:rPr>
          <w:rFonts w:ascii="Trebuchet MS" w:hAnsi="Trebuchet MS"/>
          <w:color w:val="444444"/>
        </w:rPr>
        <w:t xml:space="preserve"> for the importance of wanting explanations about automated decisions. People who took part in the "citizen juries" felt explaining an AI decision to the individual affected was more important in areas such as recruitment and criminal justice than in healthcare. On another hand, industry roundtable participants generally felt confident they could technically explain the decisions made by AI. Among the challenges they raised for </w:t>
      </w:r>
      <w:proofErr w:type="spellStart"/>
      <w:r>
        <w:rPr>
          <w:rFonts w:ascii="Trebuchet MS" w:hAnsi="Trebuchet MS"/>
          <w:color w:val="444444"/>
        </w:rPr>
        <w:t>explainability</w:t>
      </w:r>
      <w:proofErr w:type="spellEnd"/>
      <w:r>
        <w:rPr>
          <w:rFonts w:ascii="Trebuchet MS" w:hAnsi="Trebuchet MS"/>
          <w:color w:val="444444"/>
        </w:rPr>
        <w:t xml:space="preserve">: cost, commercial </w:t>
      </w:r>
      <w:r>
        <w:rPr>
          <w:rFonts w:ascii="Trebuchet MS" w:hAnsi="Trebuchet MS"/>
          <w:color w:val="444444"/>
        </w:rPr>
        <w:t>sensitivities</w:t>
      </w:r>
      <w:r>
        <w:rPr>
          <w:rFonts w:ascii="Trebuchet MS" w:hAnsi="Trebuchet MS"/>
          <w:color w:val="444444"/>
        </w:rPr>
        <w:t xml:space="preserve"> </w:t>
      </w:r>
      <w:bookmarkStart w:id="0" w:name="_GoBack"/>
      <w:bookmarkEnd w:id="0"/>
      <w:r>
        <w:rPr>
          <w:rFonts w:ascii="Trebuchet MS" w:hAnsi="Trebuchet MS"/>
          <w:color w:val="444444"/>
        </w:rPr>
        <w:t>like infringing IP, the potential for "gaming" or abuse of systems. </w:t>
      </w:r>
    </w:p>
    <w:p w:rsidR="00431383" w:rsidRDefault="00431383" w:rsidP="00431383">
      <w:pPr>
        <w:pStyle w:val="NormalWeb"/>
        <w:spacing w:before="0" w:beforeAutospacing="0" w:after="0" w:afterAutospacing="0"/>
        <w:rPr>
          <w:rFonts w:ascii="Arial" w:hAnsi="Arial" w:cs="Arial"/>
          <w:color w:val="222222"/>
        </w:rPr>
      </w:pPr>
      <w:r>
        <w:rPr>
          <w:rFonts w:ascii="Trebuchet MS" w:hAnsi="Trebuchet MS"/>
          <w:color w:val="444444"/>
        </w:rPr>
        <w:t> </w:t>
      </w:r>
    </w:p>
    <w:p w:rsidR="00431383" w:rsidRDefault="00431383" w:rsidP="00431383">
      <w:pPr>
        <w:pStyle w:val="NormalWeb"/>
        <w:spacing w:before="0" w:beforeAutospacing="0" w:after="0" w:afterAutospacing="0"/>
        <w:rPr>
          <w:rFonts w:ascii="Arial" w:hAnsi="Arial" w:cs="Arial"/>
          <w:color w:val="222222"/>
        </w:rPr>
      </w:pPr>
      <w:r>
        <w:rPr>
          <w:rFonts w:ascii="Trebuchet MS" w:hAnsi="Trebuchet MS"/>
          <w:b/>
          <w:bCs/>
          <w:color w:val="444444"/>
        </w:rPr>
        <w:t>Research</w:t>
      </w:r>
      <w:r>
        <w:rPr>
          <w:rFonts w:ascii="Trebuchet MS" w:hAnsi="Trebuchet MS"/>
          <w:color w:val="444444"/>
        </w:rPr>
        <w:t> </w:t>
      </w:r>
    </w:p>
    <w:p w:rsidR="00431383" w:rsidRDefault="00431383" w:rsidP="00431383">
      <w:pPr>
        <w:pStyle w:val="NormalWeb"/>
        <w:spacing w:before="0" w:beforeAutospacing="0" w:after="0" w:afterAutospacing="0"/>
        <w:rPr>
          <w:rFonts w:ascii="Arial" w:hAnsi="Arial" w:cs="Arial"/>
          <w:color w:val="222222"/>
        </w:rPr>
      </w:pPr>
      <w:r>
        <w:rPr>
          <w:rFonts w:ascii="Trebuchet MS" w:hAnsi="Trebuchet MS"/>
          <w:color w:val="444444"/>
        </w:rPr>
        <w:t> </w:t>
      </w:r>
    </w:p>
    <w:p w:rsidR="00431383" w:rsidRDefault="00431383" w:rsidP="00431383">
      <w:pPr>
        <w:numPr>
          <w:ilvl w:val="0"/>
          <w:numId w:val="23"/>
        </w:numPr>
        <w:ind w:left="765"/>
        <w:textAlignment w:val="center"/>
        <w:rPr>
          <w:rFonts w:ascii="Arial" w:hAnsi="Arial" w:cs="Arial"/>
          <w:color w:val="222222"/>
        </w:rPr>
      </w:pPr>
      <w:r>
        <w:rPr>
          <w:rFonts w:ascii="Trebuchet MS" w:hAnsi="Trebuchet MS"/>
          <w:color w:val="444444"/>
        </w:rPr>
        <w:t>Computer scientists from the UK published a </w:t>
      </w:r>
      <w:hyperlink r:id="rId36" w:tgtFrame="_blank" w:history="1">
        <w:r>
          <w:rPr>
            <w:rStyle w:val="Hyperlink"/>
            <w:rFonts w:ascii="Trebuchet MS" w:hAnsi="Trebuchet MS"/>
          </w:rPr>
          <w:t>research paper</w:t>
        </w:r>
      </w:hyperlink>
      <w:r>
        <w:rPr>
          <w:rFonts w:ascii="Trebuchet MS" w:hAnsi="Trebuchet MS"/>
          <w:color w:val="444444"/>
        </w:rPr>
        <w:t> on Data Protection and Tech Start-ups, based on interviews with UK-based emerging tech start-ups as the GDPR came into effect. Their research reveals areas "in which there is a disconnect between the approaches of the startups and the nature and requirements of the GDPR".</w:t>
      </w:r>
    </w:p>
    <w:p w:rsidR="00431383" w:rsidRDefault="00431383" w:rsidP="00431383">
      <w:pPr>
        <w:pStyle w:val="NormalWeb"/>
        <w:spacing w:before="0" w:beforeAutospacing="0" w:after="0" w:afterAutospacing="0"/>
        <w:rPr>
          <w:rFonts w:ascii="Arial" w:hAnsi="Arial" w:cs="Arial"/>
          <w:color w:val="222222"/>
        </w:rPr>
      </w:pPr>
      <w:r>
        <w:rPr>
          <w:rFonts w:ascii="Trebuchet MS" w:hAnsi="Trebuchet MS"/>
          <w:color w:val="444444"/>
        </w:rPr>
        <w:t> </w:t>
      </w:r>
    </w:p>
    <w:p w:rsidR="00431383" w:rsidRDefault="00431383" w:rsidP="00431383">
      <w:pPr>
        <w:numPr>
          <w:ilvl w:val="0"/>
          <w:numId w:val="24"/>
        </w:numPr>
        <w:ind w:left="765"/>
        <w:textAlignment w:val="center"/>
        <w:rPr>
          <w:rFonts w:ascii="Arial" w:hAnsi="Arial" w:cs="Arial"/>
          <w:color w:val="222222"/>
        </w:rPr>
      </w:pPr>
      <w:r>
        <w:rPr>
          <w:rFonts w:ascii="Trebuchet MS" w:hAnsi="Trebuchet MS"/>
          <w:color w:val="444444"/>
        </w:rPr>
        <w:t xml:space="preserve">Researchers started to challenge the viability of a principled approach to AI Ethics, </w:t>
      </w:r>
      <w:proofErr w:type="gramStart"/>
      <w:r>
        <w:rPr>
          <w:rFonts w:ascii="Trebuchet MS" w:hAnsi="Trebuchet MS"/>
          <w:color w:val="444444"/>
        </w:rPr>
        <w:t>similar to</w:t>
      </w:r>
      <w:proofErr w:type="gramEnd"/>
      <w:r>
        <w:rPr>
          <w:rFonts w:ascii="Trebuchet MS" w:hAnsi="Trebuchet MS"/>
          <w:color w:val="444444"/>
        </w:rPr>
        <w:t xml:space="preserve"> the one that governs developments in medicine. Brent </w:t>
      </w:r>
      <w:proofErr w:type="spellStart"/>
      <w:r>
        <w:rPr>
          <w:rFonts w:ascii="Trebuchet MS" w:hAnsi="Trebuchet MS"/>
          <w:color w:val="444444"/>
        </w:rPr>
        <w:t>Mittelstadt</w:t>
      </w:r>
      <w:proofErr w:type="spellEnd"/>
      <w:r>
        <w:rPr>
          <w:rFonts w:ascii="Trebuchet MS" w:hAnsi="Trebuchet MS"/>
          <w:color w:val="444444"/>
        </w:rPr>
        <w:t xml:space="preserve"> from the Oxford Internet Institute published a paper - </w:t>
      </w:r>
      <w:hyperlink r:id="rId37" w:tgtFrame="_blank" w:history="1">
        <w:r>
          <w:rPr>
            <w:rStyle w:val="Hyperlink"/>
            <w:rFonts w:ascii="Trebuchet MS" w:hAnsi="Trebuchet MS"/>
          </w:rPr>
          <w:t>AI Ethics: Too Principled to Fail?</w:t>
        </w:r>
      </w:hyperlink>
      <w:r>
        <w:rPr>
          <w:rFonts w:ascii="Trebuchet MS" w:hAnsi="Trebuchet MS"/>
          <w:color w:val="444444"/>
        </w:rPr>
        <w:t> - arguing that "compared to medicine, AI development lacks (1) common aims and fiduciary duties, (2) professional history and norms, (3) proven methods to translate principles into practice, and (4) robust legal and professional accountability mechanisms. These differences suggest we should not yet celebrate consensus around high-level principles that hide deep political and normative disagreement."</w:t>
      </w:r>
    </w:p>
    <w:p w:rsidR="00431383" w:rsidRDefault="00431383" w:rsidP="00431383">
      <w:pPr>
        <w:pStyle w:val="NormalWeb"/>
        <w:spacing w:before="0" w:beforeAutospacing="0" w:after="0" w:afterAutospacing="0"/>
        <w:rPr>
          <w:rFonts w:ascii="Arial" w:hAnsi="Arial" w:cs="Arial"/>
          <w:color w:val="222222"/>
        </w:rPr>
      </w:pPr>
      <w:r>
        <w:rPr>
          <w:rFonts w:ascii="Trebuchet MS" w:hAnsi="Trebuchet MS"/>
          <w:color w:val="444444"/>
        </w:rPr>
        <w:t> </w:t>
      </w:r>
    </w:p>
    <w:p w:rsidR="00431383" w:rsidRDefault="00431383" w:rsidP="00431383">
      <w:pPr>
        <w:numPr>
          <w:ilvl w:val="0"/>
          <w:numId w:val="25"/>
        </w:numPr>
        <w:ind w:left="765"/>
        <w:textAlignment w:val="center"/>
        <w:rPr>
          <w:rFonts w:ascii="Arial" w:hAnsi="Arial" w:cs="Arial"/>
          <w:color w:val="222222"/>
        </w:rPr>
      </w:pPr>
      <w:r>
        <w:rPr>
          <w:rFonts w:ascii="Trebuchet MS" w:hAnsi="Trebuchet MS"/>
          <w:color w:val="444444"/>
        </w:rPr>
        <w:t>Tilburg Institute for Law and Technology launched </w:t>
      </w:r>
      <w:hyperlink r:id="rId38" w:tgtFrame="_blank" w:history="1">
        <w:r>
          <w:rPr>
            <w:rStyle w:val="Hyperlink"/>
            <w:rFonts w:ascii="Trebuchet MS" w:hAnsi="Trebuchet MS"/>
          </w:rPr>
          <w:t>Technology and Regulation</w:t>
        </w:r>
      </w:hyperlink>
      <w:r>
        <w:rPr>
          <w:rFonts w:ascii="Trebuchet MS" w:hAnsi="Trebuchet MS"/>
          <w:color w:val="444444"/>
        </w:rPr>
        <w:t>, an open access interdisciplinary journal (law, technology and society).</w:t>
      </w:r>
    </w:p>
    <w:p w:rsidR="00431383" w:rsidRDefault="00431383" w:rsidP="00431383">
      <w:pPr>
        <w:pStyle w:val="NormalWeb"/>
        <w:spacing w:before="0" w:beforeAutospacing="0" w:after="0" w:afterAutospacing="0"/>
        <w:rPr>
          <w:rFonts w:ascii="Arial" w:hAnsi="Arial" w:cs="Arial"/>
          <w:color w:val="222222"/>
        </w:rPr>
      </w:pPr>
      <w:r>
        <w:rPr>
          <w:rFonts w:ascii="Trebuchet MS" w:hAnsi="Trebuchet MS"/>
          <w:color w:val="444444"/>
        </w:rPr>
        <w:t> </w:t>
      </w:r>
    </w:p>
    <w:p w:rsidR="00431383" w:rsidRDefault="00431383" w:rsidP="00431383">
      <w:pPr>
        <w:pStyle w:val="NormalWeb"/>
        <w:spacing w:before="0" w:beforeAutospacing="0" w:after="0" w:afterAutospacing="0"/>
        <w:rPr>
          <w:rFonts w:ascii="Arial" w:hAnsi="Arial" w:cs="Arial"/>
          <w:color w:val="222222"/>
        </w:rPr>
      </w:pPr>
      <w:r>
        <w:rPr>
          <w:rFonts w:ascii="Trebuchet MS" w:hAnsi="Trebuchet MS"/>
          <w:b/>
          <w:bCs/>
          <w:color w:val="444444"/>
        </w:rPr>
        <w:t>Public Consultation</w:t>
      </w:r>
    </w:p>
    <w:p w:rsidR="00431383" w:rsidRDefault="00431383" w:rsidP="00431383">
      <w:pPr>
        <w:pStyle w:val="NormalWeb"/>
        <w:spacing w:before="0" w:beforeAutospacing="0" w:after="0" w:afterAutospacing="0"/>
        <w:rPr>
          <w:rFonts w:ascii="Arial" w:hAnsi="Arial" w:cs="Arial"/>
          <w:color w:val="222222"/>
        </w:rPr>
      </w:pPr>
      <w:r>
        <w:rPr>
          <w:rFonts w:ascii="Trebuchet MS" w:hAnsi="Trebuchet MS"/>
          <w:color w:val="444444"/>
        </w:rPr>
        <w:t> </w:t>
      </w:r>
    </w:p>
    <w:p w:rsidR="00431383" w:rsidRDefault="00431383" w:rsidP="00431383">
      <w:pPr>
        <w:numPr>
          <w:ilvl w:val="0"/>
          <w:numId w:val="26"/>
        </w:numPr>
        <w:ind w:left="765"/>
        <w:textAlignment w:val="center"/>
        <w:rPr>
          <w:rFonts w:ascii="Arial" w:hAnsi="Arial" w:cs="Arial"/>
          <w:color w:val="222222"/>
        </w:rPr>
      </w:pPr>
      <w:r>
        <w:rPr>
          <w:rFonts w:ascii="Trebuchet MS" w:hAnsi="Trebuchet MS"/>
          <w:color w:val="444444"/>
        </w:rPr>
        <w:lastRenderedPageBreak/>
        <w:t>The Belgian DPA started a </w:t>
      </w:r>
      <w:hyperlink r:id="rId39" w:tgtFrame="_blank" w:history="1">
        <w:r>
          <w:rPr>
            <w:rStyle w:val="Hyperlink"/>
            <w:rFonts w:ascii="Trebuchet MS" w:hAnsi="Trebuchet MS"/>
          </w:rPr>
          <w:t>public consultation</w:t>
        </w:r>
      </w:hyperlink>
      <w:r>
        <w:rPr>
          <w:rFonts w:ascii="Trebuchet MS" w:hAnsi="Trebuchet MS"/>
          <w:color w:val="444444"/>
        </w:rPr>
        <w:t>(FR) on direct marketing. Answers can be submitted until 7/31.</w:t>
      </w:r>
    </w:p>
    <w:p w:rsidR="00431383" w:rsidRDefault="00431383" w:rsidP="00431383">
      <w:pPr>
        <w:pStyle w:val="NormalWeb"/>
        <w:spacing w:before="0" w:beforeAutospacing="0" w:after="0" w:afterAutospacing="0"/>
        <w:rPr>
          <w:rFonts w:ascii="Arial" w:hAnsi="Arial" w:cs="Arial"/>
          <w:color w:val="222222"/>
        </w:rPr>
      </w:pPr>
      <w:r>
        <w:rPr>
          <w:rFonts w:ascii="Trebuchet MS" w:hAnsi="Trebuchet MS"/>
          <w:color w:val="444444"/>
        </w:rPr>
        <w:t> </w:t>
      </w:r>
    </w:p>
    <w:p w:rsidR="00431383" w:rsidRDefault="00431383" w:rsidP="00431383">
      <w:pPr>
        <w:pStyle w:val="NormalWeb"/>
        <w:spacing w:before="0" w:beforeAutospacing="0" w:after="0" w:afterAutospacing="0"/>
        <w:rPr>
          <w:rFonts w:ascii="Arial" w:hAnsi="Arial" w:cs="Arial"/>
          <w:color w:val="222222"/>
        </w:rPr>
      </w:pPr>
      <w:r>
        <w:rPr>
          <w:rFonts w:ascii="Trebuchet MS" w:hAnsi="Trebuchet MS"/>
          <w:b/>
          <w:bCs/>
          <w:color w:val="444444"/>
        </w:rPr>
        <w:t>Legislation </w:t>
      </w:r>
    </w:p>
    <w:p w:rsidR="00431383" w:rsidRDefault="00431383" w:rsidP="00431383">
      <w:pPr>
        <w:pStyle w:val="NormalWeb"/>
        <w:spacing w:before="0" w:beforeAutospacing="0" w:after="0" w:afterAutospacing="0"/>
        <w:rPr>
          <w:rFonts w:ascii="Arial" w:hAnsi="Arial" w:cs="Arial"/>
          <w:color w:val="222222"/>
        </w:rPr>
      </w:pPr>
      <w:r>
        <w:rPr>
          <w:rFonts w:ascii="Trebuchet MS" w:hAnsi="Trebuchet MS"/>
          <w:color w:val="444444"/>
        </w:rPr>
        <w:t> </w:t>
      </w:r>
    </w:p>
    <w:p w:rsidR="00431383" w:rsidRDefault="00431383" w:rsidP="00431383">
      <w:pPr>
        <w:numPr>
          <w:ilvl w:val="0"/>
          <w:numId w:val="27"/>
        </w:numPr>
        <w:ind w:left="765"/>
        <w:textAlignment w:val="center"/>
        <w:rPr>
          <w:rFonts w:ascii="Arial" w:hAnsi="Arial" w:cs="Arial"/>
          <w:color w:val="222222"/>
        </w:rPr>
      </w:pPr>
      <w:r>
        <w:rPr>
          <w:rFonts w:ascii="Trebuchet MS" w:hAnsi="Trebuchet MS"/>
          <w:color w:val="444444"/>
        </w:rPr>
        <w:t>The new </w:t>
      </w:r>
      <w:hyperlink r:id="rId40" w:tgtFrame="_blank" w:history="1">
        <w:r>
          <w:rPr>
            <w:rStyle w:val="Hyperlink"/>
            <w:rFonts w:ascii="Trebuchet MS" w:hAnsi="Trebuchet MS"/>
          </w:rPr>
          <w:t>EU Cybersecurity Act</w:t>
        </w:r>
      </w:hyperlink>
      <w:r>
        <w:rPr>
          <w:rFonts w:ascii="Trebuchet MS" w:hAnsi="Trebuchet MS"/>
          <w:color w:val="444444"/>
        </w:rPr>
        <w:t> was </w:t>
      </w:r>
      <w:hyperlink r:id="rId41" w:tgtFrame="_blank" w:history="1">
        <w:r>
          <w:rPr>
            <w:rStyle w:val="Hyperlink"/>
            <w:rFonts w:ascii="Trebuchet MS" w:hAnsi="Trebuchet MS"/>
          </w:rPr>
          <w:t>published in the Official Journal</w:t>
        </w:r>
      </w:hyperlink>
      <w:r>
        <w:rPr>
          <w:rFonts w:ascii="Trebuchet MS" w:hAnsi="Trebuchet MS"/>
          <w:color w:val="444444"/>
        </w:rPr>
        <w:t> at the beginning of June and it </w:t>
      </w:r>
      <w:r>
        <w:rPr>
          <w:rFonts w:ascii="Trebuchet MS" w:hAnsi="Trebuchet MS"/>
          <w:b/>
          <w:bCs/>
          <w:color w:val="444444"/>
        </w:rPr>
        <w:t>will come into force on June 27</w:t>
      </w:r>
      <w:r>
        <w:rPr>
          <w:rFonts w:ascii="Trebuchet MS" w:hAnsi="Trebuchet MS"/>
          <w:color w:val="444444"/>
        </w:rPr>
        <w:t>. The Act aims to strengthen the cybersecurity features of everyday products and services and boost cyber resilience in the EU. </w:t>
      </w:r>
      <w:r>
        <w:rPr>
          <w:rFonts w:ascii="Trebuchet MS" w:hAnsi="Trebuchet MS"/>
          <w:b/>
          <w:bCs/>
          <w:color w:val="444444"/>
        </w:rPr>
        <w:t>It sets out a framework through which ICT products, services and processes may be granted EU-wide certification. </w:t>
      </w:r>
      <w:r>
        <w:rPr>
          <w:rFonts w:ascii="Trebuchet MS" w:hAnsi="Trebuchet MS"/>
          <w:color w:val="444444"/>
        </w:rPr>
        <w:t>The mandate of ENISA, the EU Network and Information Security Agency, and strengthened.</w:t>
      </w:r>
    </w:p>
    <w:p w:rsidR="00431383" w:rsidRDefault="00431383" w:rsidP="00431383">
      <w:pPr>
        <w:pStyle w:val="NormalWeb"/>
        <w:spacing w:before="0" w:beforeAutospacing="0" w:after="0" w:afterAutospacing="0"/>
        <w:rPr>
          <w:rFonts w:ascii="Arial" w:hAnsi="Arial" w:cs="Arial"/>
          <w:color w:val="222222"/>
        </w:rPr>
      </w:pPr>
      <w:r>
        <w:rPr>
          <w:rFonts w:ascii="Trebuchet MS" w:hAnsi="Trebuchet MS"/>
          <w:color w:val="444444"/>
        </w:rPr>
        <w:t> </w:t>
      </w:r>
    </w:p>
    <w:p w:rsidR="00431383" w:rsidRDefault="00431383" w:rsidP="00431383">
      <w:pPr>
        <w:pStyle w:val="NormalWeb"/>
        <w:spacing w:before="0" w:beforeAutospacing="0" w:after="0" w:afterAutospacing="0"/>
        <w:rPr>
          <w:rFonts w:ascii="Arial" w:hAnsi="Arial" w:cs="Arial"/>
          <w:color w:val="222222"/>
        </w:rPr>
      </w:pPr>
      <w:r>
        <w:rPr>
          <w:rFonts w:ascii="Trebuchet MS" w:hAnsi="Trebuchet MS"/>
          <w:b/>
          <w:bCs/>
          <w:color w:val="444444"/>
        </w:rPr>
        <w:t>GDPR 1 year on</w:t>
      </w:r>
    </w:p>
    <w:p w:rsidR="00431383" w:rsidRDefault="00431383" w:rsidP="00431383">
      <w:pPr>
        <w:pStyle w:val="NormalWeb"/>
        <w:spacing w:before="0" w:beforeAutospacing="0" w:after="0" w:afterAutospacing="0"/>
        <w:rPr>
          <w:rFonts w:ascii="Arial" w:hAnsi="Arial" w:cs="Arial"/>
          <w:color w:val="222222"/>
        </w:rPr>
      </w:pPr>
      <w:r>
        <w:rPr>
          <w:rFonts w:ascii="Trebuchet MS" w:hAnsi="Trebuchet MS"/>
          <w:color w:val="444444"/>
        </w:rPr>
        <w:t> </w:t>
      </w:r>
    </w:p>
    <w:p w:rsidR="00431383" w:rsidRDefault="00431383" w:rsidP="00431383">
      <w:pPr>
        <w:numPr>
          <w:ilvl w:val="0"/>
          <w:numId w:val="28"/>
        </w:numPr>
        <w:ind w:left="765"/>
        <w:textAlignment w:val="center"/>
        <w:rPr>
          <w:rFonts w:ascii="Arial" w:hAnsi="Arial" w:cs="Arial"/>
          <w:color w:val="222222"/>
        </w:rPr>
      </w:pPr>
      <w:r>
        <w:rPr>
          <w:rFonts w:ascii="Trebuchet MS" w:hAnsi="Trebuchet MS"/>
          <w:color w:val="444444"/>
        </w:rPr>
        <w:t>Access Now </w:t>
      </w:r>
      <w:hyperlink r:id="rId42" w:tgtFrame="_blank" w:history="1">
        <w:r>
          <w:rPr>
            <w:rStyle w:val="Hyperlink"/>
            <w:rFonts w:ascii="Trebuchet MS" w:hAnsi="Trebuchet MS"/>
          </w:rPr>
          <w:t>published</w:t>
        </w:r>
      </w:hyperlink>
      <w:r>
        <w:rPr>
          <w:rFonts w:ascii="Trebuchet MS" w:hAnsi="Trebuchet MS"/>
          <w:color w:val="444444"/>
        </w:rPr>
        <w:t> a comprehensive Report about the </w:t>
      </w:r>
      <w:r>
        <w:rPr>
          <w:rFonts w:ascii="Trebuchet MS" w:hAnsi="Trebuchet MS"/>
          <w:b/>
          <w:bCs/>
          <w:color w:val="444444"/>
        </w:rPr>
        <w:t>implementation of the GDPR in the 28 EU Member States</w:t>
      </w:r>
      <w:r>
        <w:rPr>
          <w:rFonts w:ascii="Trebuchet MS" w:hAnsi="Trebuchet MS"/>
          <w:color w:val="444444"/>
        </w:rPr>
        <w:t>, focusing on derogations for the data subjects' rights. The report shows that "a large number of Member States have interpreted the derogations, exceptions, and restrictions available under the GDPR differently, which may lead to fragmentation in the level of protection for data subjects across the EU". See the </w:t>
      </w:r>
      <w:hyperlink r:id="rId43" w:tgtFrame="_blank" w:history="1">
        <w:r>
          <w:rPr>
            <w:rStyle w:val="Hyperlink"/>
            <w:rFonts w:ascii="Trebuchet MS" w:hAnsi="Trebuchet MS"/>
          </w:rPr>
          <w:t>full report here</w:t>
        </w:r>
      </w:hyperlink>
      <w:r>
        <w:rPr>
          <w:rFonts w:ascii="Trebuchet MS" w:hAnsi="Trebuchet MS"/>
          <w:color w:val="444444"/>
        </w:rPr>
        <w:t>.</w:t>
      </w:r>
    </w:p>
    <w:p w:rsidR="00431383" w:rsidRDefault="00431383" w:rsidP="00431383">
      <w:pPr>
        <w:pStyle w:val="NormalWeb"/>
        <w:spacing w:before="0" w:beforeAutospacing="0" w:after="0" w:afterAutospacing="0"/>
        <w:rPr>
          <w:rFonts w:ascii="Arial" w:hAnsi="Arial" w:cs="Arial"/>
          <w:color w:val="222222"/>
        </w:rPr>
      </w:pPr>
      <w:r>
        <w:rPr>
          <w:rFonts w:ascii="Trebuchet MS" w:hAnsi="Trebuchet MS"/>
          <w:color w:val="444444"/>
        </w:rPr>
        <w:t> </w:t>
      </w:r>
    </w:p>
    <w:p w:rsidR="00431383" w:rsidRDefault="00431383" w:rsidP="00431383">
      <w:pPr>
        <w:numPr>
          <w:ilvl w:val="0"/>
          <w:numId w:val="29"/>
        </w:numPr>
        <w:ind w:left="765"/>
        <w:textAlignment w:val="center"/>
        <w:rPr>
          <w:rFonts w:ascii="Arial" w:hAnsi="Arial" w:cs="Arial"/>
          <w:color w:val="222222"/>
        </w:rPr>
      </w:pPr>
      <w:r>
        <w:rPr>
          <w:rFonts w:ascii="Trebuchet MS" w:hAnsi="Trebuchet MS"/>
          <w:color w:val="444444"/>
        </w:rPr>
        <w:t>The European Commission </w:t>
      </w:r>
      <w:hyperlink r:id="rId44" w:tgtFrame="_blank" w:history="1">
        <w:r>
          <w:rPr>
            <w:rStyle w:val="Hyperlink"/>
            <w:rFonts w:ascii="Trebuchet MS" w:hAnsi="Trebuchet MS"/>
          </w:rPr>
          <w:t>published a Eurobarometer measuring perception of Europeans over the GDPR</w:t>
        </w:r>
      </w:hyperlink>
      <w:r>
        <w:rPr>
          <w:rFonts w:ascii="Trebuchet MS" w:hAnsi="Trebuchet MS"/>
          <w:color w:val="444444"/>
        </w:rPr>
        <w:t>, one year after it became applicable. </w:t>
      </w:r>
      <w:r>
        <w:rPr>
          <w:rFonts w:ascii="Trebuchet MS" w:hAnsi="Trebuchet MS"/>
          <w:b/>
          <w:bCs/>
          <w:color w:val="444444"/>
        </w:rPr>
        <w:t>According to the Survey, 73% of Europeans have heard of at least one of the six rights guaranteed by the GDPR.</w:t>
      </w:r>
      <w:r>
        <w:rPr>
          <w:rFonts w:ascii="Trebuchet MS" w:hAnsi="Trebuchet MS"/>
          <w:color w:val="444444"/>
        </w:rPr>
        <w:t> The highest level of awareness among citizens was recorded for the right to access their own data (65%). Some results are quite surprising: half of the respondents declared they have heard about the right to move their data from a service provider to another (portability), and 41% have heard about the right to have a say when decisions are automated. </w:t>
      </w:r>
    </w:p>
    <w:p w:rsidR="008C5275" w:rsidRDefault="00431383"/>
    <w:sectPr w:rsidR="008C52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E48D6"/>
    <w:multiLevelType w:val="multilevel"/>
    <w:tmpl w:val="EEC838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425DA"/>
    <w:multiLevelType w:val="multilevel"/>
    <w:tmpl w:val="B5EC94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0A4C46"/>
    <w:multiLevelType w:val="multilevel"/>
    <w:tmpl w:val="C41C21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FE023A"/>
    <w:multiLevelType w:val="multilevel"/>
    <w:tmpl w:val="124085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1149F0"/>
    <w:multiLevelType w:val="multilevel"/>
    <w:tmpl w:val="9E42BF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174F71"/>
    <w:multiLevelType w:val="multilevel"/>
    <w:tmpl w:val="D3AC19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9E1531"/>
    <w:multiLevelType w:val="multilevel"/>
    <w:tmpl w:val="7AB027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652C07"/>
    <w:multiLevelType w:val="multilevel"/>
    <w:tmpl w:val="75DE1F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BC667B"/>
    <w:multiLevelType w:val="multilevel"/>
    <w:tmpl w:val="A7A880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1736FE"/>
    <w:multiLevelType w:val="multilevel"/>
    <w:tmpl w:val="F69091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747270"/>
    <w:multiLevelType w:val="multilevel"/>
    <w:tmpl w:val="E7A655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D817A0"/>
    <w:multiLevelType w:val="multilevel"/>
    <w:tmpl w:val="1E6ED7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146E3F"/>
    <w:multiLevelType w:val="multilevel"/>
    <w:tmpl w:val="8DBCFE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CE2FF5"/>
    <w:multiLevelType w:val="multilevel"/>
    <w:tmpl w:val="F8A800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235795"/>
    <w:multiLevelType w:val="multilevel"/>
    <w:tmpl w:val="60504F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BE38C1"/>
    <w:multiLevelType w:val="multilevel"/>
    <w:tmpl w:val="0EEA6D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7A0958"/>
    <w:multiLevelType w:val="multilevel"/>
    <w:tmpl w:val="2F88E5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ED6779"/>
    <w:multiLevelType w:val="multilevel"/>
    <w:tmpl w:val="911EA6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D00946"/>
    <w:multiLevelType w:val="multilevel"/>
    <w:tmpl w:val="ED22CD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C36293"/>
    <w:multiLevelType w:val="multilevel"/>
    <w:tmpl w:val="DA0A2D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416610"/>
    <w:multiLevelType w:val="multilevel"/>
    <w:tmpl w:val="835A9B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A75861"/>
    <w:multiLevelType w:val="multilevel"/>
    <w:tmpl w:val="8CCC00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F96113"/>
    <w:multiLevelType w:val="multilevel"/>
    <w:tmpl w:val="AC40A7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5AA430D"/>
    <w:multiLevelType w:val="multilevel"/>
    <w:tmpl w:val="1D407C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8676708"/>
    <w:multiLevelType w:val="multilevel"/>
    <w:tmpl w:val="BF081F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DC3F65"/>
    <w:multiLevelType w:val="multilevel"/>
    <w:tmpl w:val="7794C3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EE60FDD"/>
    <w:multiLevelType w:val="multilevel"/>
    <w:tmpl w:val="8AA8D6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774819"/>
    <w:multiLevelType w:val="multilevel"/>
    <w:tmpl w:val="4370A3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9014FD"/>
    <w:multiLevelType w:val="multilevel"/>
    <w:tmpl w:val="E7AE89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4"/>
    <w:lvlOverride w:ilvl="0"/>
    <w:lvlOverride w:ilvl="1"/>
    <w:lvlOverride w:ilvl="2"/>
    <w:lvlOverride w:ilvl="3"/>
    <w:lvlOverride w:ilvl="4"/>
    <w:lvlOverride w:ilvl="5"/>
    <w:lvlOverride w:ilvl="6"/>
    <w:lvlOverride w:ilvl="7"/>
    <w:lvlOverride w:ilvl="8"/>
  </w:num>
  <w:num w:numId="2">
    <w:abstractNumId w:val="19"/>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28"/>
    <w:lvlOverride w:ilvl="0"/>
    <w:lvlOverride w:ilvl="1"/>
    <w:lvlOverride w:ilvl="2"/>
    <w:lvlOverride w:ilvl="3"/>
    <w:lvlOverride w:ilvl="4"/>
    <w:lvlOverride w:ilvl="5"/>
    <w:lvlOverride w:ilvl="6"/>
    <w:lvlOverride w:ilvl="7"/>
    <w:lvlOverride w:ilvl="8"/>
  </w:num>
  <w:num w:numId="5">
    <w:abstractNumId w:val="18"/>
    <w:lvlOverride w:ilvl="0"/>
    <w:lvlOverride w:ilvl="1"/>
    <w:lvlOverride w:ilvl="2"/>
    <w:lvlOverride w:ilvl="3"/>
    <w:lvlOverride w:ilvl="4"/>
    <w:lvlOverride w:ilvl="5"/>
    <w:lvlOverride w:ilvl="6"/>
    <w:lvlOverride w:ilvl="7"/>
    <w:lvlOverride w:ilvl="8"/>
  </w:num>
  <w:num w:numId="6">
    <w:abstractNumId w:val="1"/>
    <w:lvlOverride w:ilvl="0"/>
    <w:lvlOverride w:ilvl="1"/>
    <w:lvlOverride w:ilvl="2"/>
    <w:lvlOverride w:ilvl="3"/>
    <w:lvlOverride w:ilvl="4"/>
    <w:lvlOverride w:ilvl="5"/>
    <w:lvlOverride w:ilvl="6"/>
    <w:lvlOverride w:ilvl="7"/>
    <w:lvlOverride w:ilvl="8"/>
  </w:num>
  <w:num w:numId="7">
    <w:abstractNumId w:val="16"/>
    <w:lvlOverride w:ilvl="0"/>
    <w:lvlOverride w:ilvl="1"/>
    <w:lvlOverride w:ilvl="2"/>
    <w:lvlOverride w:ilvl="3"/>
    <w:lvlOverride w:ilvl="4"/>
    <w:lvlOverride w:ilvl="5"/>
    <w:lvlOverride w:ilvl="6"/>
    <w:lvlOverride w:ilvl="7"/>
    <w:lvlOverride w:ilvl="8"/>
  </w:num>
  <w:num w:numId="8">
    <w:abstractNumId w:val="20"/>
    <w:lvlOverride w:ilvl="0"/>
    <w:lvlOverride w:ilvl="1"/>
    <w:lvlOverride w:ilvl="2"/>
    <w:lvlOverride w:ilvl="3"/>
    <w:lvlOverride w:ilvl="4"/>
    <w:lvlOverride w:ilvl="5"/>
    <w:lvlOverride w:ilvl="6"/>
    <w:lvlOverride w:ilvl="7"/>
    <w:lvlOverride w:ilvl="8"/>
  </w:num>
  <w:num w:numId="9">
    <w:abstractNumId w:val="26"/>
    <w:lvlOverride w:ilvl="0"/>
    <w:lvlOverride w:ilvl="1"/>
    <w:lvlOverride w:ilvl="2"/>
    <w:lvlOverride w:ilvl="3"/>
    <w:lvlOverride w:ilvl="4"/>
    <w:lvlOverride w:ilvl="5"/>
    <w:lvlOverride w:ilvl="6"/>
    <w:lvlOverride w:ilvl="7"/>
    <w:lvlOverride w:ilvl="8"/>
  </w:num>
  <w:num w:numId="10">
    <w:abstractNumId w:val="7"/>
    <w:lvlOverride w:ilvl="0"/>
    <w:lvlOverride w:ilvl="1"/>
    <w:lvlOverride w:ilvl="2"/>
    <w:lvlOverride w:ilvl="3"/>
    <w:lvlOverride w:ilvl="4"/>
    <w:lvlOverride w:ilvl="5"/>
    <w:lvlOverride w:ilvl="6"/>
    <w:lvlOverride w:ilvl="7"/>
    <w:lvlOverride w:ilvl="8"/>
  </w:num>
  <w:num w:numId="11">
    <w:abstractNumId w:val="13"/>
    <w:lvlOverride w:ilvl="0"/>
    <w:lvlOverride w:ilvl="1"/>
    <w:lvlOverride w:ilvl="2"/>
    <w:lvlOverride w:ilvl="3"/>
    <w:lvlOverride w:ilvl="4"/>
    <w:lvlOverride w:ilvl="5"/>
    <w:lvlOverride w:ilvl="6"/>
    <w:lvlOverride w:ilvl="7"/>
    <w:lvlOverride w:ilvl="8"/>
  </w:num>
  <w:num w:numId="12">
    <w:abstractNumId w:val="5"/>
    <w:lvlOverride w:ilvl="0"/>
    <w:lvlOverride w:ilvl="1"/>
    <w:lvlOverride w:ilvl="2"/>
    <w:lvlOverride w:ilvl="3"/>
    <w:lvlOverride w:ilvl="4"/>
    <w:lvlOverride w:ilvl="5"/>
    <w:lvlOverride w:ilvl="6"/>
    <w:lvlOverride w:ilvl="7"/>
    <w:lvlOverride w:ilvl="8"/>
  </w:num>
  <w:num w:numId="13">
    <w:abstractNumId w:val="25"/>
    <w:lvlOverride w:ilvl="0"/>
    <w:lvlOverride w:ilvl="1"/>
    <w:lvlOverride w:ilvl="2"/>
    <w:lvlOverride w:ilvl="3"/>
    <w:lvlOverride w:ilvl="4"/>
    <w:lvlOverride w:ilvl="5"/>
    <w:lvlOverride w:ilvl="6"/>
    <w:lvlOverride w:ilvl="7"/>
    <w:lvlOverride w:ilvl="8"/>
  </w:num>
  <w:num w:numId="14">
    <w:abstractNumId w:val="4"/>
    <w:lvlOverride w:ilvl="0"/>
    <w:lvlOverride w:ilvl="1"/>
    <w:lvlOverride w:ilvl="2"/>
    <w:lvlOverride w:ilvl="3"/>
    <w:lvlOverride w:ilvl="4"/>
    <w:lvlOverride w:ilvl="5"/>
    <w:lvlOverride w:ilvl="6"/>
    <w:lvlOverride w:ilvl="7"/>
    <w:lvlOverride w:ilvl="8"/>
  </w:num>
  <w:num w:numId="15">
    <w:abstractNumId w:val="12"/>
    <w:lvlOverride w:ilvl="0"/>
    <w:lvlOverride w:ilvl="1"/>
    <w:lvlOverride w:ilvl="2"/>
    <w:lvlOverride w:ilvl="3"/>
    <w:lvlOverride w:ilvl="4"/>
    <w:lvlOverride w:ilvl="5"/>
    <w:lvlOverride w:ilvl="6"/>
    <w:lvlOverride w:ilvl="7"/>
    <w:lvlOverride w:ilvl="8"/>
  </w:num>
  <w:num w:numId="16">
    <w:abstractNumId w:val="27"/>
    <w:lvlOverride w:ilvl="0"/>
    <w:lvlOverride w:ilvl="1"/>
    <w:lvlOverride w:ilvl="2"/>
    <w:lvlOverride w:ilvl="3"/>
    <w:lvlOverride w:ilvl="4"/>
    <w:lvlOverride w:ilvl="5"/>
    <w:lvlOverride w:ilvl="6"/>
    <w:lvlOverride w:ilvl="7"/>
    <w:lvlOverride w:ilvl="8"/>
  </w:num>
  <w:num w:numId="17">
    <w:abstractNumId w:val="2"/>
    <w:lvlOverride w:ilvl="0"/>
    <w:lvlOverride w:ilvl="1"/>
    <w:lvlOverride w:ilvl="2"/>
    <w:lvlOverride w:ilvl="3"/>
    <w:lvlOverride w:ilvl="4"/>
    <w:lvlOverride w:ilvl="5"/>
    <w:lvlOverride w:ilvl="6"/>
    <w:lvlOverride w:ilvl="7"/>
    <w:lvlOverride w:ilvl="8"/>
  </w:num>
  <w:num w:numId="18">
    <w:abstractNumId w:val="6"/>
    <w:lvlOverride w:ilvl="0"/>
    <w:lvlOverride w:ilvl="1"/>
    <w:lvlOverride w:ilvl="2"/>
    <w:lvlOverride w:ilvl="3"/>
    <w:lvlOverride w:ilvl="4"/>
    <w:lvlOverride w:ilvl="5"/>
    <w:lvlOverride w:ilvl="6"/>
    <w:lvlOverride w:ilvl="7"/>
    <w:lvlOverride w:ilvl="8"/>
  </w:num>
  <w:num w:numId="19">
    <w:abstractNumId w:val="22"/>
    <w:lvlOverride w:ilvl="0"/>
    <w:lvlOverride w:ilvl="1"/>
    <w:lvlOverride w:ilvl="2"/>
    <w:lvlOverride w:ilvl="3"/>
    <w:lvlOverride w:ilvl="4"/>
    <w:lvlOverride w:ilvl="5"/>
    <w:lvlOverride w:ilvl="6"/>
    <w:lvlOverride w:ilvl="7"/>
    <w:lvlOverride w:ilvl="8"/>
  </w:num>
  <w:num w:numId="20">
    <w:abstractNumId w:val="9"/>
    <w:lvlOverride w:ilvl="0"/>
    <w:lvlOverride w:ilvl="1"/>
    <w:lvlOverride w:ilvl="2"/>
    <w:lvlOverride w:ilvl="3"/>
    <w:lvlOverride w:ilvl="4"/>
    <w:lvlOverride w:ilvl="5"/>
    <w:lvlOverride w:ilvl="6"/>
    <w:lvlOverride w:ilvl="7"/>
    <w:lvlOverride w:ilvl="8"/>
  </w:num>
  <w:num w:numId="21">
    <w:abstractNumId w:val="0"/>
    <w:lvlOverride w:ilvl="0"/>
    <w:lvlOverride w:ilvl="1"/>
    <w:lvlOverride w:ilvl="2"/>
    <w:lvlOverride w:ilvl="3"/>
    <w:lvlOverride w:ilvl="4"/>
    <w:lvlOverride w:ilvl="5"/>
    <w:lvlOverride w:ilvl="6"/>
    <w:lvlOverride w:ilvl="7"/>
    <w:lvlOverride w:ilvl="8"/>
  </w:num>
  <w:num w:numId="22">
    <w:abstractNumId w:val="10"/>
    <w:lvlOverride w:ilvl="0"/>
    <w:lvlOverride w:ilvl="1"/>
    <w:lvlOverride w:ilvl="2"/>
    <w:lvlOverride w:ilvl="3"/>
    <w:lvlOverride w:ilvl="4"/>
    <w:lvlOverride w:ilvl="5"/>
    <w:lvlOverride w:ilvl="6"/>
    <w:lvlOverride w:ilvl="7"/>
    <w:lvlOverride w:ilvl="8"/>
  </w:num>
  <w:num w:numId="23">
    <w:abstractNumId w:val="17"/>
    <w:lvlOverride w:ilvl="0"/>
    <w:lvlOverride w:ilvl="1"/>
    <w:lvlOverride w:ilvl="2"/>
    <w:lvlOverride w:ilvl="3"/>
    <w:lvlOverride w:ilvl="4"/>
    <w:lvlOverride w:ilvl="5"/>
    <w:lvlOverride w:ilvl="6"/>
    <w:lvlOverride w:ilvl="7"/>
    <w:lvlOverride w:ilvl="8"/>
  </w:num>
  <w:num w:numId="24">
    <w:abstractNumId w:val="15"/>
    <w:lvlOverride w:ilvl="0"/>
    <w:lvlOverride w:ilvl="1"/>
    <w:lvlOverride w:ilvl="2"/>
    <w:lvlOverride w:ilvl="3"/>
    <w:lvlOverride w:ilvl="4"/>
    <w:lvlOverride w:ilvl="5"/>
    <w:lvlOverride w:ilvl="6"/>
    <w:lvlOverride w:ilvl="7"/>
    <w:lvlOverride w:ilvl="8"/>
  </w:num>
  <w:num w:numId="25">
    <w:abstractNumId w:val="24"/>
    <w:lvlOverride w:ilvl="0"/>
    <w:lvlOverride w:ilvl="1"/>
    <w:lvlOverride w:ilvl="2"/>
    <w:lvlOverride w:ilvl="3"/>
    <w:lvlOverride w:ilvl="4"/>
    <w:lvlOverride w:ilvl="5"/>
    <w:lvlOverride w:ilvl="6"/>
    <w:lvlOverride w:ilvl="7"/>
    <w:lvlOverride w:ilvl="8"/>
  </w:num>
  <w:num w:numId="26">
    <w:abstractNumId w:val="21"/>
    <w:lvlOverride w:ilvl="0"/>
    <w:lvlOverride w:ilvl="1"/>
    <w:lvlOverride w:ilvl="2"/>
    <w:lvlOverride w:ilvl="3"/>
    <w:lvlOverride w:ilvl="4"/>
    <w:lvlOverride w:ilvl="5"/>
    <w:lvlOverride w:ilvl="6"/>
    <w:lvlOverride w:ilvl="7"/>
    <w:lvlOverride w:ilvl="8"/>
  </w:num>
  <w:num w:numId="27">
    <w:abstractNumId w:val="8"/>
    <w:lvlOverride w:ilvl="0"/>
    <w:lvlOverride w:ilvl="1"/>
    <w:lvlOverride w:ilvl="2"/>
    <w:lvlOverride w:ilvl="3"/>
    <w:lvlOverride w:ilvl="4"/>
    <w:lvlOverride w:ilvl="5"/>
    <w:lvlOverride w:ilvl="6"/>
    <w:lvlOverride w:ilvl="7"/>
    <w:lvlOverride w:ilvl="8"/>
  </w:num>
  <w:num w:numId="28">
    <w:abstractNumId w:val="11"/>
    <w:lvlOverride w:ilvl="0"/>
    <w:lvlOverride w:ilvl="1"/>
    <w:lvlOverride w:ilvl="2"/>
    <w:lvlOverride w:ilvl="3"/>
    <w:lvlOverride w:ilvl="4"/>
    <w:lvlOverride w:ilvl="5"/>
    <w:lvlOverride w:ilvl="6"/>
    <w:lvlOverride w:ilvl="7"/>
    <w:lvlOverride w:ilvl="8"/>
  </w:num>
  <w:num w:numId="29">
    <w:abstractNumId w:val="2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383"/>
    <w:rsid w:val="002A5AFC"/>
    <w:rsid w:val="0034673A"/>
    <w:rsid w:val="00431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61DC0"/>
  <w15:chartTrackingRefBased/>
  <w15:docId w15:val="{23AC1A11-5E89-4060-A1EA-B44E7645D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38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31383"/>
    <w:rPr>
      <w:color w:val="0000FF"/>
      <w:u w:val="single"/>
    </w:rPr>
  </w:style>
  <w:style w:type="paragraph" w:styleId="NormalWeb">
    <w:name w:val="Normal (Web)"/>
    <w:basedOn w:val="Normal"/>
    <w:uiPriority w:val="99"/>
    <w:semiHidden/>
    <w:unhideWhenUsed/>
    <w:rsid w:val="0043138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pb.europa.eu/news/national-news/2019/first-significant-fine-was-imposed-breaches-general-data-protection_en" TargetMode="External"/><Relationship Id="rId13" Type="http://schemas.openxmlformats.org/officeDocument/2006/relationships/hyperlink" Target="https://noyb.eu/wp-content/uploads/2019/06/ogh_e.pdf" TargetMode="External"/><Relationship Id="rId18" Type="http://schemas.openxmlformats.org/officeDocument/2006/relationships/hyperlink" Target="https://www.linkedin.com/feed/update/urn:li:activity:6537235406763683840/" TargetMode="External"/><Relationship Id="rId26" Type="http://schemas.openxmlformats.org/officeDocument/2006/relationships/hyperlink" Target="https://www.dataprotection.ie/guidance-landing/guidance-use-cctv-data-controllers" TargetMode="External"/><Relationship Id="rId39" Type="http://schemas.openxmlformats.org/officeDocument/2006/relationships/hyperlink" Target="https://www.autoriteprotectiondonnees.be/consultation-publique-relative-au-marketing-direct" TargetMode="External"/><Relationship Id="rId3" Type="http://schemas.openxmlformats.org/officeDocument/2006/relationships/settings" Target="settings.xml"/><Relationship Id="rId21" Type="http://schemas.openxmlformats.org/officeDocument/2006/relationships/hyperlink" Target="https://edpb.europa.eu/our-work-tools/our-documents/guidelines/guidelines-42018-accreditation-certification-bodies-under_en" TargetMode="External"/><Relationship Id="rId34" Type="http://schemas.openxmlformats.org/officeDocument/2006/relationships/hyperlink" Target="https://ico.org.uk/media/2615039/project-explain-20190603.pdf" TargetMode="External"/><Relationship Id="rId42" Type="http://schemas.openxmlformats.org/officeDocument/2006/relationships/hyperlink" Target="https://www.accessnow.org/a-gdpr-progress-report-how-is-the-law-being-implemented-in-the-eu/" TargetMode="External"/><Relationship Id="rId7" Type="http://schemas.openxmlformats.org/officeDocument/2006/relationships/hyperlink" Target="https://www.datatilsynet.dk/presse-og-nyheder/nyhedsarkiv/2019/jun/moebelfirma-indstillet-til-boede/" TargetMode="External"/><Relationship Id="rId12" Type="http://schemas.openxmlformats.org/officeDocument/2006/relationships/hyperlink" Target="https://www.tribunalconstitucional.es/NotasDePrensaDocumentos/NP_2019_076/2019-1405STC.pdf" TargetMode="External"/><Relationship Id="rId17" Type="http://schemas.openxmlformats.org/officeDocument/2006/relationships/hyperlink" Target="https://www.linkedin.com/feed/update/urn:li:activity:6542478043573735424/" TargetMode="External"/><Relationship Id="rId25" Type="http://schemas.openxmlformats.org/officeDocument/2006/relationships/hyperlink" Target="https://www.aepd.es/media/notas-tecnicas/nota-tecnica-kanonimidad.pdf" TargetMode="External"/><Relationship Id="rId33" Type="http://schemas.openxmlformats.org/officeDocument/2006/relationships/hyperlink" Target="https://fpf.org/issues/ai-ml/" TargetMode="External"/><Relationship Id="rId38" Type="http://schemas.openxmlformats.org/officeDocument/2006/relationships/hyperlink" Target="https://techreg.org/index.php/techreg"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linkedin.com/feed/update/urn:li:activity:6542652591724085248/" TargetMode="External"/><Relationship Id="rId20" Type="http://schemas.openxmlformats.org/officeDocument/2006/relationships/hyperlink" Target="https://www.reuters.com/article/us-eu-facebook-court/facebook-may-be-ordered-to-remove-duplicates-of-illegal-posts-worldwide-eu-court-adviser-idUSKCN1T50TU" TargetMode="External"/><Relationship Id="rId29" Type="http://schemas.openxmlformats.org/officeDocument/2006/relationships/hyperlink" Target="https://www.orfonline.org/expert-speak/european-parliamentary-elections-2019-challenging-status-quo-51839/" TargetMode="External"/><Relationship Id="rId41" Type="http://schemas.openxmlformats.org/officeDocument/2006/relationships/hyperlink" Target="https://www.enisa.europa.eu/news/enisa-news/the-eu-cybersecurity-act-a-new-era-dawns-on-enisa" TargetMode="External"/><Relationship Id="rId1" Type="http://schemas.openxmlformats.org/officeDocument/2006/relationships/numbering" Target="numbering.xml"/><Relationship Id="rId6" Type="http://schemas.openxmlformats.org/officeDocument/2006/relationships/hyperlink" Target="https://www.eldiario.es/tecnologia/Agencia-Proteccion-Datos-Liga-microfono_0_908859408.html" TargetMode="External"/><Relationship Id="rId11" Type="http://schemas.openxmlformats.org/officeDocument/2006/relationships/hyperlink" Target="https://secuoyagroup.com/2019/06/the-good-the-bad-and-the-ugly-spanish-electoral-system-act-a-tale-with-a-happy-ending/" TargetMode="External"/><Relationship Id="rId24" Type="http://schemas.openxmlformats.org/officeDocument/2006/relationships/hyperlink" Target="https://www.aepd.es/prensa/2019-06-14.html" TargetMode="External"/><Relationship Id="rId32" Type="http://schemas.openxmlformats.org/officeDocument/2006/relationships/hyperlink" Target="https://fra.europa.eu/sites/default/files/fra_uploads/fra-2019-data-quality-and-ai_en.pdf" TargetMode="External"/><Relationship Id="rId37" Type="http://schemas.openxmlformats.org/officeDocument/2006/relationships/hyperlink" Target="https://papers.ssrn.com/sol3/papers.cfm?abstract_id=3391293" TargetMode="External"/><Relationship Id="rId40" Type="http://schemas.openxmlformats.org/officeDocument/2006/relationships/hyperlink" Target="https://eur-lex.europa.eu/legal-content/EN/TXT/?uri=uriserv:OJ.L_.2019.151.01.0015.01.ENG&amp;toc=OJ:L:2019:151:TOC" TargetMode="External"/><Relationship Id="rId45" Type="http://schemas.openxmlformats.org/officeDocument/2006/relationships/fontTable" Target="fontTable.xml"/><Relationship Id="rId5" Type="http://schemas.openxmlformats.org/officeDocument/2006/relationships/hyperlink" Target="https://www.garanteprivacy.it/web/guest/home/docweb/-/docweb-display/docweb/9116516" TargetMode="External"/><Relationship Id="rId15" Type="http://schemas.openxmlformats.org/officeDocument/2006/relationships/hyperlink" Target="https://uitspraken.rechtspraak.nl/inziendocument?id=ECLI:NL:RBOVE:2019:1827" TargetMode="External"/><Relationship Id="rId23" Type="http://schemas.openxmlformats.org/officeDocument/2006/relationships/hyperlink" Target="https://ico.org.uk/for-organisations/guide-to-data-protection/guide-to-the-general-data-protection-regulation-gdpr/key-definitions/controllers-and-processors/" TargetMode="External"/><Relationship Id="rId28" Type="http://schemas.openxmlformats.org/officeDocument/2006/relationships/hyperlink" Target="https://eur-lex.europa.eu/legal-content/EN/TXT/?uri=COM:2019:250:FIN" TargetMode="External"/><Relationship Id="rId36" Type="http://schemas.openxmlformats.org/officeDocument/2006/relationships/hyperlink" Target="https://papers.ssrn.com/sol3/papers.cfm?abstract_id=3398204" TargetMode="External"/><Relationship Id="rId10" Type="http://schemas.openxmlformats.org/officeDocument/2006/relationships/hyperlink" Target="http://www.europarl.europa.eu/doceo/document/E-8-2019-000584-ASW_EN.pdf" TargetMode="External"/><Relationship Id="rId19" Type="http://schemas.openxmlformats.org/officeDocument/2006/relationships/hyperlink" Target="https://curia.europa.eu/jcms/upload/docs/application/pdf/2019-06/cp190069en.pdf" TargetMode="External"/><Relationship Id="rId31" Type="http://schemas.openxmlformats.org/officeDocument/2006/relationships/hyperlink" Target="https://twitter.com/BirgitSippelMEP/status/1133640158853640192?s=20" TargetMode="External"/><Relationship Id="rId44" Type="http://schemas.openxmlformats.org/officeDocument/2006/relationships/hyperlink" Target="http://europa.eu/rapid/press-release_IP-19-2956_en.htm" TargetMode="External"/><Relationship Id="rId4" Type="http://schemas.openxmlformats.org/officeDocument/2006/relationships/webSettings" Target="webSettings.xml"/><Relationship Id="rId9" Type="http://schemas.openxmlformats.org/officeDocument/2006/relationships/hyperlink" Target="http://curia.europa.eu/juris/document/document.jsf?text=&amp;docid=214944&amp;pageIndex=0&amp;doclang=EN&amp;mode=req&amp;dir=&amp;occ=first&amp;part=1&amp;cid=9098796" TargetMode="External"/><Relationship Id="rId14" Type="http://schemas.openxmlformats.org/officeDocument/2006/relationships/hyperlink" Target="https://www.computerweekly.com/news/252464942/Austrian-Supreme-Court-green-lights-GDPR-case-against-Facebook" TargetMode="External"/><Relationship Id="rId22" Type="http://schemas.openxmlformats.org/officeDocument/2006/relationships/hyperlink" Target="https://edpb.europa.eu/our-work-tools/our-documents/guidelines/guidelines-12019-codes-conduct-and-monitoring-bodies-under-0_en" TargetMode="External"/><Relationship Id="rId27" Type="http://schemas.openxmlformats.org/officeDocument/2006/relationships/hyperlink" Target="https://www.aepd.es/prensa/2019-05-30.html" TargetMode="External"/><Relationship Id="rId30" Type="http://schemas.openxmlformats.org/officeDocument/2006/relationships/hyperlink" Target="https://www.europeaninterest.eu/article/german-pirates-enter-european-parliament/" TargetMode="External"/><Relationship Id="rId35" Type="http://schemas.openxmlformats.org/officeDocument/2006/relationships/hyperlink" Target="https://ai-auditingframework.blogspot.com/2019/06/when-it-comes-to-explaining-ai.html" TargetMode="External"/><Relationship Id="rId43" Type="http://schemas.openxmlformats.org/officeDocument/2006/relationships/hyperlink" Target="https://www.accessnow.org/one-year-under-gd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2752</Words>
  <Characters>15689</Characters>
  <Application>Microsoft Office Word</Application>
  <DocSecurity>0</DocSecurity>
  <Lines>130</Lines>
  <Paragraphs>36</Paragraphs>
  <ScaleCrop>false</ScaleCrop>
  <Company/>
  <LinksUpToDate>false</LinksUpToDate>
  <CharactersWithSpaces>18405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Hall</dc:creator>
  <cp:keywords/>
  <dc:description/>
  <cp:lastModifiedBy>Taylor Hall</cp:lastModifiedBy>
  <cp:revision>1</cp:revision>
  <dcterms:created xsi:type="dcterms:W3CDTF">2019-07-10T19:53:00Z</dcterms:created>
  <dcterms:modified xsi:type="dcterms:W3CDTF">2019-07-10T19:56:00Z</dcterms:modified>
</cp:coreProperties>
</file>